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D9F2" w14:textId="77777777" w:rsidR="009C5AEA" w:rsidRDefault="009C5AEA" w:rsidP="00DE78B3"/>
    <w:p w14:paraId="0B0211A1" w14:textId="77777777" w:rsidR="009C5AEA" w:rsidRDefault="009C5AEA" w:rsidP="00DE78B3"/>
    <w:p w14:paraId="696AF293" w14:textId="77777777" w:rsidR="009C5AEA" w:rsidRDefault="009C5AEA" w:rsidP="00DE78B3"/>
    <w:p w14:paraId="46E8EE3C" w14:textId="77777777" w:rsidR="009C5AEA" w:rsidRDefault="009C5AEA" w:rsidP="00DE78B3"/>
    <w:p w14:paraId="71083ECC" w14:textId="77777777" w:rsidR="009C5AEA" w:rsidRDefault="009C5AEA" w:rsidP="00DE78B3"/>
    <w:p w14:paraId="645E117E" w14:textId="77777777" w:rsidR="009C5AEA" w:rsidRDefault="009C5AEA" w:rsidP="00DE78B3"/>
    <w:p w14:paraId="07D1F282" w14:textId="77777777" w:rsidR="009C5AEA" w:rsidRDefault="009C5AEA" w:rsidP="00DE78B3"/>
    <w:p w14:paraId="1C510FA3" w14:textId="77777777" w:rsidR="009C5AEA" w:rsidRDefault="009C5AEA" w:rsidP="00DE78B3"/>
    <w:p w14:paraId="6CD1B2B5" w14:textId="77777777" w:rsidR="009C5AEA" w:rsidRDefault="009C5AEA" w:rsidP="00DE78B3"/>
    <w:p w14:paraId="43C1C96F" w14:textId="77777777" w:rsidR="009C5AEA" w:rsidRDefault="009C5AEA" w:rsidP="00DE78B3"/>
    <w:p w14:paraId="7C596E94" w14:textId="77777777" w:rsidR="009C5AEA" w:rsidRDefault="009C5AEA" w:rsidP="00DE78B3"/>
    <w:p w14:paraId="0DF41A02" w14:textId="77777777" w:rsidR="009C5AEA" w:rsidRDefault="009C5AEA" w:rsidP="00DE78B3"/>
    <w:p w14:paraId="6896641D" w14:textId="77777777" w:rsidR="009C5AEA" w:rsidRDefault="009C5AEA" w:rsidP="00DE78B3"/>
    <w:p w14:paraId="6C8B9EE0" w14:textId="77777777" w:rsidR="009C5AEA" w:rsidRDefault="009C5AEA" w:rsidP="00DE78B3"/>
    <w:p w14:paraId="435AD842" w14:textId="77777777" w:rsidR="009C5AEA" w:rsidRDefault="009C5AEA" w:rsidP="00DE78B3"/>
    <w:p w14:paraId="0F273093" w14:textId="77777777" w:rsidR="009C5AEA" w:rsidRDefault="009C5AEA" w:rsidP="00DE78B3"/>
    <w:p w14:paraId="6D7F2DA6" w14:textId="77777777" w:rsidR="009C5AEA" w:rsidRDefault="009C5AEA" w:rsidP="00DE78B3"/>
    <w:p w14:paraId="430726A0" w14:textId="77777777" w:rsidR="009C5AEA" w:rsidRDefault="009C5AEA" w:rsidP="00DE78B3"/>
    <w:p w14:paraId="0461A291" w14:textId="77777777" w:rsidR="009C5AEA" w:rsidRDefault="009C5AEA" w:rsidP="00DE78B3"/>
    <w:p w14:paraId="30A6515E" w14:textId="77777777" w:rsidR="009C5AEA" w:rsidRDefault="009C5AEA" w:rsidP="00DE78B3"/>
    <w:p w14:paraId="778C61EE" w14:textId="77777777" w:rsidR="009C5AEA" w:rsidRDefault="009C5AEA" w:rsidP="00DE78B3"/>
    <w:p w14:paraId="5F95DF0B" w14:textId="77777777" w:rsidR="00B9136A" w:rsidRDefault="00B9136A" w:rsidP="00DE78B3"/>
    <w:p w14:paraId="139AA54E" w14:textId="77777777" w:rsidR="009C5AEA" w:rsidRDefault="009C5AEA" w:rsidP="00DE78B3"/>
    <w:p w14:paraId="2EC461ED" w14:textId="77777777" w:rsidR="009C5AEA" w:rsidRPr="00A176D8" w:rsidRDefault="00F52356" w:rsidP="00DE78B3">
      <w:pPr>
        <w:jc w:val="center"/>
      </w:pPr>
      <w:r w:rsidRPr="00A176D8">
        <w:rPr>
          <w:b/>
          <w:bCs/>
        </w:rPr>
        <w:t>ANNEXE I</w:t>
      </w:r>
    </w:p>
    <w:p w14:paraId="3EED8A9A" w14:textId="77777777" w:rsidR="009C5AEA" w:rsidRDefault="009C5AEA" w:rsidP="00DE78B3"/>
    <w:p w14:paraId="39EB170E" w14:textId="77777777" w:rsidR="009C5AEA" w:rsidRDefault="00F52356" w:rsidP="00903F7D">
      <w:pPr>
        <w:pStyle w:val="TitleA"/>
      </w:pPr>
      <w:r>
        <w:t>RÉSUMÉ DES CARACTÉRISTIQUES DU PRODUIT</w:t>
      </w:r>
    </w:p>
    <w:p w14:paraId="0AE03726" w14:textId="77777777" w:rsidR="009C5AEA" w:rsidRDefault="00F52356" w:rsidP="00DE78B3">
      <w:r>
        <w:br w:type="page"/>
      </w:r>
    </w:p>
    <w:p w14:paraId="4AAEF632" w14:textId="77777777" w:rsidR="009C5AEA" w:rsidRDefault="009C5AEA" w:rsidP="00DE78B3"/>
    <w:p w14:paraId="3527AB97" w14:textId="77777777" w:rsidR="009C5AEA" w:rsidRDefault="009C5AEA" w:rsidP="00DE78B3"/>
    <w:p w14:paraId="4DEE8803" w14:textId="77777777" w:rsidR="009C5AEA" w:rsidRPr="00DE78B3" w:rsidRDefault="00F52356" w:rsidP="00DE78B3">
      <w:pPr>
        <w:rPr>
          <w:b/>
          <w:bCs/>
        </w:rPr>
      </w:pPr>
      <w:r w:rsidRPr="00DE78B3">
        <w:rPr>
          <w:b/>
          <w:bCs/>
        </w:rPr>
        <w:t>1.</w:t>
      </w:r>
      <w:r w:rsidRPr="00DE78B3">
        <w:rPr>
          <w:b/>
          <w:bCs/>
        </w:rPr>
        <w:tab/>
        <w:t>DÉNOMINATION DU MÉDICAMENT</w:t>
      </w:r>
    </w:p>
    <w:p w14:paraId="52E4B1DB" w14:textId="77777777" w:rsidR="009C5AEA" w:rsidRDefault="009C5AEA" w:rsidP="00DE78B3">
      <w:pPr>
        <w:keepNext/>
      </w:pPr>
    </w:p>
    <w:p w14:paraId="2A880570" w14:textId="40838A0B" w:rsidR="009C5AEA" w:rsidRDefault="0052551F" w:rsidP="00DE78B3">
      <w:r>
        <w:t xml:space="preserve">Vaxchora, </w:t>
      </w:r>
      <w:r w:rsidR="00592B46">
        <w:t>p</w:t>
      </w:r>
      <w:r w:rsidR="00F52356">
        <w:t xml:space="preserve">oudre effervescente et poudre pour suspension </w:t>
      </w:r>
      <w:r w:rsidR="002246EA">
        <w:t>buvable</w:t>
      </w:r>
    </w:p>
    <w:p w14:paraId="3F455C39" w14:textId="1153ADAD" w:rsidR="009C5AEA" w:rsidRDefault="00F52356" w:rsidP="00DE78B3">
      <w:r>
        <w:t xml:space="preserve">Vaccin </w:t>
      </w:r>
      <w:r w:rsidR="003278BE">
        <w:t xml:space="preserve">contre le choléra </w:t>
      </w:r>
      <w:r>
        <w:t>(vivant, recombiné, oral)</w:t>
      </w:r>
    </w:p>
    <w:p w14:paraId="62EFDBEF" w14:textId="77777777" w:rsidR="009C5AEA" w:rsidRDefault="009C5AEA" w:rsidP="00DE78B3"/>
    <w:p w14:paraId="26D548E0" w14:textId="77777777" w:rsidR="009C5AEA" w:rsidRDefault="009C5AEA" w:rsidP="00DE78B3"/>
    <w:p w14:paraId="5F59862D" w14:textId="77777777" w:rsidR="009C5AEA" w:rsidRPr="00DE78B3" w:rsidRDefault="00F52356" w:rsidP="00DE78B3">
      <w:pPr>
        <w:rPr>
          <w:b/>
          <w:bCs/>
        </w:rPr>
      </w:pPr>
      <w:r w:rsidRPr="00DE78B3">
        <w:rPr>
          <w:b/>
          <w:bCs/>
        </w:rPr>
        <w:t>2.</w:t>
      </w:r>
      <w:r w:rsidRPr="00DE78B3">
        <w:rPr>
          <w:b/>
          <w:bCs/>
        </w:rPr>
        <w:tab/>
        <w:t>COMPOSITION QUALITATIVE ET QUANTITATIVE</w:t>
      </w:r>
    </w:p>
    <w:p w14:paraId="087D4D29" w14:textId="77777777" w:rsidR="009C5AEA" w:rsidRDefault="009C5AEA" w:rsidP="00DE78B3">
      <w:pPr>
        <w:keepNext/>
      </w:pPr>
    </w:p>
    <w:p w14:paraId="4A05C515" w14:textId="7FC8CDB7" w:rsidR="009C5AEA" w:rsidRDefault="00F52356" w:rsidP="00DE78B3">
      <w:r>
        <w:t>Chaque dose de vaccin contient 4 ×</w:t>
      </w:r>
      <w:r w:rsidR="00FA4AAD">
        <w:t> </w:t>
      </w:r>
      <w:r>
        <w:t>10</w:t>
      </w:r>
      <w:r>
        <w:rPr>
          <w:rStyle w:val="Superscript"/>
        </w:rPr>
        <w:t>8</w:t>
      </w:r>
      <w:r>
        <w:t xml:space="preserve"> à 2 ×</w:t>
      </w:r>
      <w:r w:rsidR="00FA4AAD">
        <w:t> </w:t>
      </w:r>
      <w:r>
        <w:t>10</w:t>
      </w:r>
      <w:r>
        <w:rPr>
          <w:rStyle w:val="Superscript"/>
        </w:rPr>
        <w:t>9</w:t>
      </w:r>
      <w:r w:rsidR="001408F7">
        <w:t> </w:t>
      </w:r>
      <w:r>
        <w:t xml:space="preserve">cellules viables de la souche vivante atténuée CVD 103-HgR de </w:t>
      </w:r>
      <w:r>
        <w:rPr>
          <w:rStyle w:val="Emphasis"/>
        </w:rPr>
        <w:t>V</w:t>
      </w:r>
      <w:r w:rsidR="00AA589C">
        <w:rPr>
          <w:rStyle w:val="Emphasis"/>
        </w:rPr>
        <w:t>ibrio</w:t>
      </w:r>
      <w:r>
        <w:t> </w:t>
      </w:r>
      <w:r>
        <w:rPr>
          <w:rStyle w:val="Emphasis"/>
        </w:rPr>
        <w:t>cholerae</w:t>
      </w:r>
      <w:r>
        <w:rPr>
          <w:rStyle w:val="Superscript"/>
        </w:rPr>
        <w:t>1</w:t>
      </w:r>
      <w:r>
        <w:t>.</w:t>
      </w:r>
    </w:p>
    <w:p w14:paraId="402848FF" w14:textId="77777777" w:rsidR="00AA589C" w:rsidRDefault="00AA589C" w:rsidP="00DE78B3"/>
    <w:p w14:paraId="5A669064" w14:textId="77777777" w:rsidR="009C5AEA" w:rsidRDefault="00F52356" w:rsidP="00DE78B3">
      <w:r>
        <w:rPr>
          <w:rStyle w:val="Superscript"/>
        </w:rPr>
        <w:t>1</w:t>
      </w:r>
      <w:r>
        <w:t xml:space="preserve"> Produite par une technologie d’ADN recombiné.</w:t>
      </w:r>
    </w:p>
    <w:p w14:paraId="2BBE3D65" w14:textId="77777777" w:rsidR="009C5AEA" w:rsidRDefault="009C5AEA" w:rsidP="00DE78B3"/>
    <w:p w14:paraId="3C462934" w14:textId="77777777" w:rsidR="009C5AEA" w:rsidRDefault="00F52356" w:rsidP="00DE78B3">
      <w:r>
        <w:t>Ce produit contient des organismes génétiquement modifiés (OGM).</w:t>
      </w:r>
    </w:p>
    <w:p w14:paraId="6AA77DBD" w14:textId="77777777" w:rsidR="009C5AEA" w:rsidRDefault="009C5AEA" w:rsidP="00DE78B3"/>
    <w:p w14:paraId="29229F3A" w14:textId="3D1BCE9D" w:rsidR="00AA589C" w:rsidRPr="00AD6E27" w:rsidRDefault="00F52356" w:rsidP="00DE78B3">
      <w:pPr>
        <w:rPr>
          <w:u w:val="single"/>
        </w:rPr>
      </w:pPr>
      <w:r w:rsidRPr="00AD6E27">
        <w:rPr>
          <w:u w:val="single"/>
        </w:rPr>
        <w:t>Excipients à effet notoire</w:t>
      </w:r>
    </w:p>
    <w:p w14:paraId="2B6C5BC3" w14:textId="77777777" w:rsidR="00AA589C" w:rsidRDefault="00AA589C" w:rsidP="00DE78B3"/>
    <w:p w14:paraId="368FB14C" w14:textId="6ACE2833" w:rsidR="009C5AEA" w:rsidRDefault="00AA589C" w:rsidP="00DE78B3">
      <w:r>
        <w:t>C</w:t>
      </w:r>
      <w:r w:rsidR="00F52356">
        <w:t xml:space="preserve">haque dose de vaccin contient </w:t>
      </w:r>
      <w:r>
        <w:t xml:space="preserve">environ 2,3 grammes de </w:t>
      </w:r>
      <w:r w:rsidR="00F52356">
        <w:t xml:space="preserve">lactose, </w:t>
      </w:r>
      <w:r>
        <w:t>12,5 milligrammes de</w:t>
      </w:r>
      <w:r w:rsidR="00F52356">
        <w:t xml:space="preserve"> saccharose et 863 milligrammes de sodium.</w:t>
      </w:r>
    </w:p>
    <w:p w14:paraId="41919131" w14:textId="77777777" w:rsidR="009C5AEA" w:rsidRDefault="009C5AEA" w:rsidP="00DE78B3"/>
    <w:p w14:paraId="087BE3D0" w14:textId="6632989C" w:rsidR="009C5AEA" w:rsidRDefault="00592B46" w:rsidP="00DE78B3">
      <w:r w:rsidRPr="00592B46">
        <w:t>Pour la liste complète des excipients, voir rubrique</w:t>
      </w:r>
      <w:r w:rsidR="00A3285B">
        <w:t> </w:t>
      </w:r>
      <w:r w:rsidRPr="00592B46">
        <w:t>6.1.</w:t>
      </w:r>
    </w:p>
    <w:p w14:paraId="13DF6254" w14:textId="77777777" w:rsidR="009C5AEA" w:rsidRDefault="009C5AEA" w:rsidP="00DE78B3"/>
    <w:p w14:paraId="7BCBFA18" w14:textId="77777777" w:rsidR="009C5AEA" w:rsidRDefault="009C5AEA" w:rsidP="00DE78B3"/>
    <w:p w14:paraId="5B4652CB" w14:textId="77777777" w:rsidR="009C5AEA" w:rsidRPr="00DE78B3" w:rsidRDefault="00F52356" w:rsidP="00DE78B3">
      <w:pPr>
        <w:rPr>
          <w:b/>
          <w:bCs/>
        </w:rPr>
      </w:pPr>
      <w:r w:rsidRPr="00DE78B3">
        <w:rPr>
          <w:b/>
          <w:bCs/>
        </w:rPr>
        <w:t>3.</w:t>
      </w:r>
      <w:r w:rsidRPr="00DE78B3">
        <w:rPr>
          <w:b/>
          <w:bCs/>
        </w:rPr>
        <w:tab/>
        <w:t>FORME PHARMACEUTIQUE</w:t>
      </w:r>
    </w:p>
    <w:p w14:paraId="33E31B20" w14:textId="77777777" w:rsidR="009C5AEA" w:rsidRDefault="009C5AEA" w:rsidP="00DE78B3">
      <w:pPr>
        <w:keepNext/>
      </w:pPr>
    </w:p>
    <w:p w14:paraId="2A946B40" w14:textId="57333B6A" w:rsidR="009C5AEA" w:rsidRDefault="00F52356" w:rsidP="00DE78B3">
      <w:r>
        <w:t xml:space="preserve">Poudre effervescente et poudre pour suspension </w:t>
      </w:r>
      <w:r w:rsidR="002246EA">
        <w:t>buvable</w:t>
      </w:r>
      <w:r>
        <w:t>.</w:t>
      </w:r>
    </w:p>
    <w:p w14:paraId="1AE33AD0" w14:textId="77777777" w:rsidR="009C5AEA" w:rsidRDefault="00F52356" w:rsidP="00DE78B3">
      <w:r>
        <w:t>Poudre tampon de couleur blanche à blanc cassé et poudre de principe actif de couleur blanche à beige.</w:t>
      </w:r>
    </w:p>
    <w:p w14:paraId="1A53F8C2" w14:textId="77777777" w:rsidR="009C5AEA" w:rsidRDefault="009C5AEA" w:rsidP="00DE78B3"/>
    <w:p w14:paraId="227AF0FC" w14:textId="77777777" w:rsidR="009C5AEA" w:rsidRDefault="009C5AEA" w:rsidP="00DE78B3"/>
    <w:p w14:paraId="617BCA76" w14:textId="77777777" w:rsidR="009C5AEA" w:rsidRPr="00DE78B3" w:rsidRDefault="00F52356" w:rsidP="00DE78B3">
      <w:pPr>
        <w:rPr>
          <w:b/>
          <w:bCs/>
        </w:rPr>
      </w:pPr>
      <w:r w:rsidRPr="00DE78B3">
        <w:rPr>
          <w:b/>
          <w:bCs/>
        </w:rPr>
        <w:t>4.</w:t>
      </w:r>
      <w:r w:rsidRPr="00DE78B3">
        <w:rPr>
          <w:b/>
          <w:bCs/>
        </w:rPr>
        <w:tab/>
        <w:t>INFORMATIONS CLINIQUES</w:t>
      </w:r>
    </w:p>
    <w:p w14:paraId="651305AE" w14:textId="77777777" w:rsidR="009C5AEA" w:rsidRDefault="009C5AEA" w:rsidP="00DE78B3">
      <w:pPr>
        <w:keepNext/>
      </w:pPr>
    </w:p>
    <w:p w14:paraId="25CDC4DF" w14:textId="77777777" w:rsidR="009C5AEA" w:rsidRPr="00DE78B3" w:rsidRDefault="00F52356" w:rsidP="00DE78B3">
      <w:pPr>
        <w:rPr>
          <w:b/>
          <w:bCs/>
        </w:rPr>
      </w:pPr>
      <w:r w:rsidRPr="00DE78B3">
        <w:rPr>
          <w:b/>
          <w:bCs/>
        </w:rPr>
        <w:t>4.1</w:t>
      </w:r>
      <w:r w:rsidRPr="00DE78B3">
        <w:rPr>
          <w:b/>
          <w:bCs/>
        </w:rPr>
        <w:tab/>
        <w:t>Indications thérapeutiques</w:t>
      </w:r>
    </w:p>
    <w:p w14:paraId="62065EA0" w14:textId="77777777" w:rsidR="009C5AEA" w:rsidRDefault="009C5AEA" w:rsidP="00DE78B3">
      <w:pPr>
        <w:keepNext/>
      </w:pPr>
    </w:p>
    <w:p w14:paraId="29690222" w14:textId="61091C18" w:rsidR="009C5AEA" w:rsidRDefault="00F52356" w:rsidP="00DE78B3">
      <w:r>
        <w:t xml:space="preserve">Vaxchora est indiqué pour l’immunisation active contre la maladie causée par le </w:t>
      </w:r>
      <w:r>
        <w:rPr>
          <w:rStyle w:val="Emphasis"/>
        </w:rPr>
        <w:t>Vibrio cholerae</w:t>
      </w:r>
      <w:r>
        <w:t xml:space="preserve"> de sérogroupe O1 chez les adultes et les enfants âgés de </w:t>
      </w:r>
      <w:r w:rsidR="00B9136A">
        <w:t>2</w:t>
      </w:r>
      <w:r>
        <w:t> ans et plus.</w:t>
      </w:r>
    </w:p>
    <w:p w14:paraId="3C839C4E" w14:textId="77777777" w:rsidR="009C5AEA" w:rsidRDefault="009C5AEA" w:rsidP="00DE78B3"/>
    <w:p w14:paraId="201040E4" w14:textId="77777777" w:rsidR="009C5AEA" w:rsidRDefault="00F52356" w:rsidP="00DE78B3">
      <w:r>
        <w:t>Il convient d’utiliser ce vaccin conformément aux recommandations officielles.</w:t>
      </w:r>
    </w:p>
    <w:p w14:paraId="2A963B87" w14:textId="77777777" w:rsidR="009C5AEA" w:rsidRDefault="009C5AEA" w:rsidP="00DE78B3"/>
    <w:p w14:paraId="60767592" w14:textId="77777777" w:rsidR="009C5AEA" w:rsidRPr="00DE78B3" w:rsidRDefault="00F52356" w:rsidP="00DE78B3">
      <w:pPr>
        <w:rPr>
          <w:b/>
          <w:bCs/>
        </w:rPr>
      </w:pPr>
      <w:r w:rsidRPr="00DE78B3">
        <w:rPr>
          <w:b/>
          <w:bCs/>
        </w:rPr>
        <w:t>4.2</w:t>
      </w:r>
      <w:r w:rsidRPr="00DE78B3">
        <w:rPr>
          <w:b/>
          <w:bCs/>
        </w:rPr>
        <w:tab/>
        <w:t>Posologie et mode d’administration</w:t>
      </w:r>
    </w:p>
    <w:p w14:paraId="3B893F7A" w14:textId="77777777" w:rsidR="009C5AEA" w:rsidRDefault="009C5AEA" w:rsidP="00DE78B3">
      <w:pPr>
        <w:keepNext/>
      </w:pPr>
    </w:p>
    <w:p w14:paraId="1B54F234" w14:textId="77777777" w:rsidR="009C5AEA" w:rsidRDefault="00F52356" w:rsidP="00DE78B3">
      <w:pPr>
        <w:pStyle w:val="HeadingUnderlined"/>
      </w:pPr>
      <w:r>
        <w:t>Posologie</w:t>
      </w:r>
    </w:p>
    <w:p w14:paraId="24DC884A" w14:textId="77777777" w:rsidR="009C5AEA" w:rsidRDefault="009C5AEA" w:rsidP="00DE78B3"/>
    <w:p w14:paraId="3B6538BA" w14:textId="3587BCDD" w:rsidR="009C5AEA" w:rsidRPr="00AD6E27" w:rsidRDefault="00F52356" w:rsidP="00DE78B3">
      <w:pPr>
        <w:pStyle w:val="HeadingStrongEmphasis"/>
        <w:rPr>
          <w:b w:val="0"/>
          <w:bCs w:val="0"/>
        </w:rPr>
      </w:pPr>
      <w:r w:rsidRPr="00AD6E27">
        <w:rPr>
          <w:b w:val="0"/>
          <w:bCs w:val="0"/>
        </w:rPr>
        <w:t xml:space="preserve">Adultes et enfants âgés d’au moins </w:t>
      </w:r>
      <w:r w:rsidR="00B9136A" w:rsidRPr="00AD6E27">
        <w:rPr>
          <w:b w:val="0"/>
          <w:bCs w:val="0"/>
        </w:rPr>
        <w:t>2</w:t>
      </w:r>
      <w:r w:rsidRPr="00AD6E27">
        <w:rPr>
          <w:b w:val="0"/>
          <w:bCs w:val="0"/>
        </w:rPr>
        <w:t> ans</w:t>
      </w:r>
    </w:p>
    <w:p w14:paraId="353E1A1A" w14:textId="77777777" w:rsidR="009C5AEA" w:rsidRDefault="009C5AEA" w:rsidP="00DE78B3"/>
    <w:p w14:paraId="2A7C2BD1" w14:textId="3E15979A" w:rsidR="009C5AEA" w:rsidRDefault="00F52356" w:rsidP="00DE78B3">
      <w:r>
        <w:t xml:space="preserve">Une dose unique doit être administrée par voie orale au moins 10 jours avant l’exposition potentielle au </w:t>
      </w:r>
      <w:r>
        <w:rPr>
          <w:rStyle w:val="Emphasis"/>
        </w:rPr>
        <w:t>V</w:t>
      </w:r>
      <w:r w:rsidR="00AA589C">
        <w:rPr>
          <w:rStyle w:val="Emphasis"/>
        </w:rPr>
        <w:t>ibrio</w:t>
      </w:r>
      <w:r>
        <w:t> </w:t>
      </w:r>
      <w:r>
        <w:rPr>
          <w:rStyle w:val="Emphasis"/>
        </w:rPr>
        <w:t>cholerae</w:t>
      </w:r>
      <w:r>
        <w:t xml:space="preserve"> de sérogroupe O1.</w:t>
      </w:r>
    </w:p>
    <w:p w14:paraId="45294238" w14:textId="268C64E8" w:rsidR="006B110B" w:rsidRDefault="007B45F5" w:rsidP="00DE78B3">
      <w:r>
        <w:t>L’</w:t>
      </w:r>
      <w:r w:rsidR="008F1D31">
        <w:t>ingestion</w:t>
      </w:r>
      <w:r w:rsidR="006B110B">
        <w:t xml:space="preserve"> de moins d’</w:t>
      </w:r>
      <w:r w:rsidR="006B110B" w:rsidRPr="00B9136A">
        <w:t xml:space="preserve">une demi-dose peut entraîner une diminution de la protection. Si moins de la moitié de la dose est </w:t>
      </w:r>
      <w:r w:rsidR="008F1D31">
        <w:t>ingérée</w:t>
      </w:r>
      <w:r w:rsidR="006B110B" w:rsidRPr="00B9136A">
        <w:t xml:space="preserve">, </w:t>
      </w:r>
      <w:r w:rsidR="006B110B">
        <w:t xml:space="preserve">il </w:t>
      </w:r>
      <w:r w:rsidR="006B110B" w:rsidRPr="00B9136A">
        <w:t>peut</w:t>
      </w:r>
      <w:r w:rsidR="006B110B">
        <w:t xml:space="preserve"> être envisagé</w:t>
      </w:r>
      <w:r w:rsidR="006B110B" w:rsidRPr="00B9136A">
        <w:t xml:space="preserve"> de répéter </w:t>
      </w:r>
      <w:r>
        <w:t>l’administration d’</w:t>
      </w:r>
      <w:r w:rsidR="006B110B" w:rsidRPr="00B9136A">
        <w:t>une dose c</w:t>
      </w:r>
      <w:r w:rsidR="006B110B">
        <w:t>omplète de Vaxchora dans les 72 </w:t>
      </w:r>
      <w:r w:rsidR="006B110B" w:rsidRPr="00B9136A">
        <w:t>heures.</w:t>
      </w:r>
    </w:p>
    <w:p w14:paraId="78A9B8A1" w14:textId="77777777" w:rsidR="009C5AEA" w:rsidRDefault="009C5AEA" w:rsidP="00DE78B3"/>
    <w:p w14:paraId="221CF22D" w14:textId="77777777" w:rsidR="009C5AEA" w:rsidRPr="00AD6E27" w:rsidRDefault="00F52356" w:rsidP="00DE78B3">
      <w:pPr>
        <w:pStyle w:val="HeadingStrongEmphasis"/>
        <w:rPr>
          <w:b w:val="0"/>
          <w:bCs w:val="0"/>
        </w:rPr>
      </w:pPr>
      <w:r w:rsidRPr="00AD6E27">
        <w:rPr>
          <w:b w:val="0"/>
          <w:bCs w:val="0"/>
        </w:rPr>
        <w:t>Revaccination</w:t>
      </w:r>
    </w:p>
    <w:p w14:paraId="4B835B39" w14:textId="77777777" w:rsidR="009C5AEA" w:rsidRDefault="009C5AEA" w:rsidP="00DE78B3">
      <w:pPr>
        <w:keepNext/>
      </w:pPr>
    </w:p>
    <w:p w14:paraId="094F805D" w14:textId="1FF6D154" w:rsidR="009C5AEA" w:rsidRDefault="00153CD8" w:rsidP="00DE78B3">
      <w:r w:rsidRPr="00153CD8">
        <w:t xml:space="preserve">Aucune donnée n’est disponible </w:t>
      </w:r>
      <w:r w:rsidR="00F52356">
        <w:t>sur l’intervalle de rappel.</w:t>
      </w:r>
    </w:p>
    <w:p w14:paraId="49FC1D6B" w14:textId="77777777" w:rsidR="009C5AEA" w:rsidRDefault="009C5AEA" w:rsidP="00DE78B3"/>
    <w:p w14:paraId="68015D19" w14:textId="77777777" w:rsidR="009C5AEA" w:rsidRDefault="00F52356" w:rsidP="00DE78B3">
      <w:pPr>
        <w:pStyle w:val="HeadingEmphasis"/>
      </w:pPr>
      <w:r>
        <w:lastRenderedPageBreak/>
        <w:t>Population pédiatrique</w:t>
      </w:r>
    </w:p>
    <w:p w14:paraId="175D7003" w14:textId="77777777" w:rsidR="009C5AEA" w:rsidRDefault="009C5AEA" w:rsidP="00DE78B3"/>
    <w:p w14:paraId="769ED417" w14:textId="33654A58" w:rsidR="009C5AEA" w:rsidRDefault="00F52356" w:rsidP="00DE78B3">
      <w:r>
        <w:t xml:space="preserve">La sécurité et l’efficacité de Vaxchora chez les enfants âgés de moins de </w:t>
      </w:r>
      <w:r w:rsidR="00B9136A">
        <w:t>2</w:t>
      </w:r>
      <w:r>
        <w:t> ans n’ont pas été établies. Aucune donnée n’est disponible.</w:t>
      </w:r>
    </w:p>
    <w:p w14:paraId="463B6E9E" w14:textId="77777777" w:rsidR="009C5AEA" w:rsidRDefault="009C5AEA" w:rsidP="00DE78B3"/>
    <w:p w14:paraId="710F6B67" w14:textId="77777777" w:rsidR="009C5AEA" w:rsidRDefault="00F52356" w:rsidP="00DE78B3">
      <w:pPr>
        <w:pStyle w:val="HeadingUnderlined"/>
      </w:pPr>
      <w:r>
        <w:t>Mode d’administration</w:t>
      </w:r>
    </w:p>
    <w:p w14:paraId="77983D9C" w14:textId="77777777" w:rsidR="009C5AEA" w:rsidRDefault="009C5AEA" w:rsidP="00DE78B3"/>
    <w:p w14:paraId="268078CB" w14:textId="77777777" w:rsidR="009C5AEA" w:rsidRDefault="00F52356" w:rsidP="00DE78B3">
      <w:r>
        <w:t>Voie orale.</w:t>
      </w:r>
    </w:p>
    <w:p w14:paraId="29A6C59C" w14:textId="77777777" w:rsidR="009C5AEA" w:rsidRDefault="009C5AEA" w:rsidP="00DE78B3"/>
    <w:p w14:paraId="7DF7BE8B" w14:textId="07B0A1B5" w:rsidR="009C5AEA" w:rsidRDefault="00F52356" w:rsidP="00DE78B3">
      <w:r>
        <w:t xml:space="preserve">Pour </w:t>
      </w:r>
      <w:r w:rsidR="00FA4AAD">
        <w:t>les</w:t>
      </w:r>
      <w:r>
        <w:t xml:space="preserve"> instructions </w:t>
      </w:r>
      <w:r w:rsidR="00FA4AAD">
        <w:t xml:space="preserve">concernant </w:t>
      </w:r>
      <w:r>
        <w:t>la reconstitution du produit Vaxchora avant administration, voir la rubrique 6.6.</w:t>
      </w:r>
    </w:p>
    <w:p w14:paraId="2455E8A3" w14:textId="77777777" w:rsidR="009C5AEA" w:rsidRDefault="009C5AEA" w:rsidP="00DE78B3"/>
    <w:p w14:paraId="0ECA7EB9" w14:textId="5AC94FA4" w:rsidR="009C5AEA" w:rsidRDefault="00F52356" w:rsidP="00DE78B3">
      <w:r>
        <w:t xml:space="preserve">Éviter de manger et de boire 60 minutes avant et après l’ingestion orale de </w:t>
      </w:r>
      <w:r w:rsidR="006B110B">
        <w:t>ce vaccin</w:t>
      </w:r>
      <w:r>
        <w:t>.</w:t>
      </w:r>
    </w:p>
    <w:p w14:paraId="096C39F4" w14:textId="0D7A8378" w:rsidR="009C5AEA" w:rsidRDefault="00F52356" w:rsidP="00DE78B3">
      <w:r>
        <w:t xml:space="preserve">Le vaccin reconstitué forme une suspension légèrement trouble pouvant contenir des particules blanches. Une fois le vaccin reconstitué, la suspension doit être ingérée dans les 15 minutes. La personne recevant le vaccin doit boire en une fois l’intégralité du contenu du </w:t>
      </w:r>
      <w:r w:rsidR="00912F02">
        <w:t>verre</w:t>
      </w:r>
      <w:r>
        <w:t>.</w:t>
      </w:r>
    </w:p>
    <w:p w14:paraId="470A54B0" w14:textId="77777777" w:rsidR="009C5AEA" w:rsidRDefault="009C5AEA" w:rsidP="00DE78B3"/>
    <w:p w14:paraId="725FB35C" w14:textId="77777777" w:rsidR="009C5AEA" w:rsidRPr="001A3B7C" w:rsidRDefault="00F52356" w:rsidP="001A3B7C">
      <w:pPr>
        <w:rPr>
          <w:b/>
          <w:bCs/>
        </w:rPr>
      </w:pPr>
      <w:r w:rsidRPr="001A3B7C">
        <w:rPr>
          <w:b/>
          <w:bCs/>
        </w:rPr>
        <w:t>4.3</w:t>
      </w:r>
      <w:r w:rsidRPr="001A3B7C">
        <w:rPr>
          <w:b/>
          <w:bCs/>
        </w:rPr>
        <w:tab/>
        <w:t>Contre-indications</w:t>
      </w:r>
    </w:p>
    <w:p w14:paraId="5C70BEF1" w14:textId="77777777" w:rsidR="009C5AEA" w:rsidRDefault="009C5AEA" w:rsidP="00DE78B3">
      <w:pPr>
        <w:keepNext/>
      </w:pPr>
    </w:p>
    <w:p w14:paraId="6C59FA64" w14:textId="77777777" w:rsidR="009C5AEA" w:rsidRDefault="00F52356" w:rsidP="00DE78B3">
      <w:r>
        <w:t>Hypersensibilité à la/aux substance(s) active(s) ou à l’un des excipients mentionnés à la rubrique 6.1.</w:t>
      </w:r>
    </w:p>
    <w:p w14:paraId="52E7BC2C" w14:textId="77777777" w:rsidR="009C5AEA" w:rsidRDefault="009C5AEA" w:rsidP="00DE78B3"/>
    <w:p w14:paraId="5CAA965C" w14:textId="617A4D9A" w:rsidR="009C5AEA" w:rsidRDefault="00F52356" w:rsidP="00DE78B3">
      <w:r>
        <w:t>Individus atteints de déficience immunitaire congénitale ou recevant des traitements immunosuppresseurs.</w:t>
      </w:r>
    </w:p>
    <w:p w14:paraId="175726BC" w14:textId="77777777" w:rsidR="009C5AEA" w:rsidRDefault="009C5AEA" w:rsidP="00DE78B3"/>
    <w:p w14:paraId="0575AF93" w14:textId="77777777" w:rsidR="009C5AEA" w:rsidRPr="001A3B7C" w:rsidRDefault="00F52356" w:rsidP="001A3B7C">
      <w:pPr>
        <w:rPr>
          <w:b/>
          <w:bCs/>
        </w:rPr>
      </w:pPr>
      <w:r w:rsidRPr="001A3B7C">
        <w:rPr>
          <w:b/>
          <w:bCs/>
        </w:rPr>
        <w:t>4.4</w:t>
      </w:r>
      <w:r w:rsidRPr="001A3B7C">
        <w:rPr>
          <w:b/>
          <w:bCs/>
        </w:rPr>
        <w:tab/>
        <w:t>Mises en garde spéciales et précautions d’emploi</w:t>
      </w:r>
    </w:p>
    <w:p w14:paraId="0EDD5380" w14:textId="77777777" w:rsidR="009C5AEA" w:rsidRDefault="009C5AEA" w:rsidP="00DE78B3"/>
    <w:p w14:paraId="5BD918B6" w14:textId="77777777" w:rsidR="009C5AEA" w:rsidRDefault="00F52356" w:rsidP="00DE78B3">
      <w:pPr>
        <w:pStyle w:val="HeadingUnderlined"/>
      </w:pPr>
      <w:r>
        <w:t>Traçabilité</w:t>
      </w:r>
    </w:p>
    <w:p w14:paraId="3295D556" w14:textId="77777777" w:rsidR="009C5AEA" w:rsidRDefault="009C5AEA" w:rsidP="00DE78B3">
      <w:pPr>
        <w:keepNext/>
      </w:pPr>
    </w:p>
    <w:p w14:paraId="39260834" w14:textId="77777777" w:rsidR="009C5AEA" w:rsidRDefault="00F52356" w:rsidP="00DE78B3">
      <w:r>
        <w:t>Afin d’améliorer la traçabilité des médicaments biologiques, le nom et le numéro de lot du produit administré doivent être clairement enregistrés.</w:t>
      </w:r>
    </w:p>
    <w:p w14:paraId="03158311" w14:textId="77777777" w:rsidR="009C5AEA" w:rsidRDefault="009C5AEA" w:rsidP="00DE78B3"/>
    <w:p w14:paraId="6B51E449" w14:textId="77777777" w:rsidR="009C5AEA" w:rsidRDefault="00F52356" w:rsidP="00DE78B3">
      <w:pPr>
        <w:pStyle w:val="HeadingUnderlined"/>
      </w:pPr>
      <w:r>
        <w:t>Facteurs influant sur la protection</w:t>
      </w:r>
    </w:p>
    <w:p w14:paraId="3FAFBECE" w14:textId="77777777" w:rsidR="009C5AEA" w:rsidRDefault="009C5AEA" w:rsidP="00DE78B3">
      <w:pPr>
        <w:keepNext/>
      </w:pPr>
    </w:p>
    <w:p w14:paraId="5437C02C" w14:textId="2BFFE630" w:rsidR="009C5AEA" w:rsidRDefault="00F52356" w:rsidP="00DE78B3">
      <w:r>
        <w:t xml:space="preserve">Vaxchora confère une protection spécifique contre </w:t>
      </w:r>
      <w:r>
        <w:rPr>
          <w:rStyle w:val="Emphasis"/>
        </w:rPr>
        <w:t>Vibrio cholerae</w:t>
      </w:r>
      <w:r>
        <w:t xml:space="preserve"> de sérogroupe O1. L’immunisation ne protège pas contre </w:t>
      </w:r>
      <w:r>
        <w:rPr>
          <w:rStyle w:val="Emphasis"/>
        </w:rPr>
        <w:t>V</w:t>
      </w:r>
      <w:r w:rsidR="006B110B">
        <w:rPr>
          <w:rStyle w:val="Emphasis"/>
        </w:rPr>
        <w:t>ibrio</w:t>
      </w:r>
      <w:r>
        <w:t> </w:t>
      </w:r>
      <w:r>
        <w:rPr>
          <w:rStyle w:val="Emphasis"/>
        </w:rPr>
        <w:t>cholerae</w:t>
      </w:r>
      <w:r>
        <w:t xml:space="preserve"> de sérogroupe O139 ou d’autres espèces de Vibrio.</w:t>
      </w:r>
    </w:p>
    <w:p w14:paraId="79D441EE" w14:textId="77777777" w:rsidR="009C5AEA" w:rsidRDefault="009C5AEA" w:rsidP="00DE78B3"/>
    <w:p w14:paraId="5EF24184" w14:textId="132E7FBB" w:rsidR="009C5AEA" w:rsidRDefault="006B110B" w:rsidP="00DE78B3">
      <w:r>
        <w:t xml:space="preserve">Ce vaccin </w:t>
      </w:r>
      <w:r w:rsidR="00F52356">
        <w:t>n’assure pas une protection à 100</w:t>
      </w:r>
      <w:r w:rsidR="001408F7">
        <w:t> </w:t>
      </w:r>
      <w:r w:rsidR="00F52356">
        <w:t>%. Les personnes vaccinées doivent suivre les conseils d’hygiène et faire preuve de prudence lorsqu’elles consomment de la nourriture et de l’eau dans les zones touchées par le choléra.</w:t>
      </w:r>
    </w:p>
    <w:p w14:paraId="0EC8611D" w14:textId="77777777" w:rsidR="009C5AEA" w:rsidRDefault="009C5AEA" w:rsidP="00DE78B3"/>
    <w:p w14:paraId="38424830" w14:textId="77777777" w:rsidR="009C5AEA" w:rsidRDefault="00F52356" w:rsidP="00DE78B3">
      <w:r>
        <w:t>Aucune donnée n’est disponible pour les personnes résidant dans des zones touchées par le choléra ou chez les individus ayant une immunité préexistante au choléra.</w:t>
      </w:r>
    </w:p>
    <w:p w14:paraId="61D82B2F" w14:textId="77777777" w:rsidR="009C5AEA" w:rsidRDefault="009C5AEA" w:rsidP="00DE78B3"/>
    <w:p w14:paraId="3CFD8A6F" w14:textId="79E6D690" w:rsidR="009C5AEA" w:rsidRDefault="00F52356" w:rsidP="00DE78B3">
      <w:r>
        <w:t xml:space="preserve">La protection offerte par </w:t>
      </w:r>
      <w:r w:rsidR="006B110B">
        <w:t xml:space="preserve">ce vaccin </w:t>
      </w:r>
      <w:r>
        <w:t>peut être réduite chez les individus infectés par le VIH.</w:t>
      </w:r>
    </w:p>
    <w:p w14:paraId="65B48E6D" w14:textId="77777777" w:rsidR="009C5AEA" w:rsidRDefault="009C5AEA" w:rsidP="00DE78B3"/>
    <w:p w14:paraId="5AC8DE16" w14:textId="77777777" w:rsidR="009C5AEA" w:rsidRDefault="00F52356" w:rsidP="00DE78B3">
      <w:pPr>
        <w:pStyle w:val="HeadingUnderlined"/>
      </w:pPr>
      <w:proofErr w:type="gramStart"/>
      <w:r>
        <w:t>Risques potentiels</w:t>
      </w:r>
      <w:proofErr w:type="gramEnd"/>
      <w:r>
        <w:t xml:space="preserve"> pour les contacts</w:t>
      </w:r>
    </w:p>
    <w:p w14:paraId="66FCE0CF" w14:textId="77777777" w:rsidR="009C5AEA" w:rsidRDefault="009C5AEA" w:rsidP="00DE78B3">
      <w:pPr>
        <w:keepNext/>
      </w:pPr>
    </w:p>
    <w:p w14:paraId="0E4957D8" w14:textId="41DC9CBA" w:rsidR="009C5AEA" w:rsidRDefault="00F52356" w:rsidP="00DE78B3">
      <w:r>
        <w:t>L’excrétion de Vaxchora dans les selles a été étudiée pendant 7 jours après la vaccination et a été observée chez 11,3</w:t>
      </w:r>
      <w:r w:rsidR="001408F7">
        <w:t> </w:t>
      </w:r>
      <w:r>
        <w:t>% des personnes vaccinées. La durée d’excrétion de la souche vaccinale est inconnue. Il est possible que la souche vaccinale soit transmise à des proches non vaccinés (par exemple, à des proches vivant sous le même toit).</w:t>
      </w:r>
    </w:p>
    <w:p w14:paraId="2EBBA980" w14:textId="77777777" w:rsidR="009C5AEA" w:rsidRDefault="009C5AEA" w:rsidP="00DE78B3"/>
    <w:p w14:paraId="70625788" w14:textId="77777777" w:rsidR="009C5AEA" w:rsidRDefault="00F52356" w:rsidP="00DE78B3">
      <w:pPr>
        <w:pStyle w:val="HeadingUnderlined"/>
      </w:pPr>
      <w:r>
        <w:t>Administration concomitante avec des agents antibactériens et/ou de la chloroquine</w:t>
      </w:r>
    </w:p>
    <w:p w14:paraId="07C4F9EA" w14:textId="77777777" w:rsidR="009C5AEA" w:rsidRDefault="009C5AEA" w:rsidP="00DE78B3">
      <w:pPr>
        <w:keepNext/>
      </w:pPr>
    </w:p>
    <w:p w14:paraId="2AB44313" w14:textId="62B3DCD7" w:rsidR="009C5AEA" w:rsidRDefault="00F52356" w:rsidP="00DE78B3">
      <w:r>
        <w:t xml:space="preserve">L’administration concomitante avec des agents antibactériens et/ou de la chloroquine doit être évitée, car cela peut réduire la protection contre le choléra </w:t>
      </w:r>
      <w:r w:rsidR="006B110B">
        <w:t>(v</w:t>
      </w:r>
      <w:r>
        <w:t>oir rubrique 4.5</w:t>
      </w:r>
      <w:r w:rsidR="006B110B">
        <w:t>)</w:t>
      </w:r>
      <w:r>
        <w:t>.</w:t>
      </w:r>
    </w:p>
    <w:p w14:paraId="607E0B2A" w14:textId="77777777" w:rsidR="009C5AEA" w:rsidRDefault="009C5AEA" w:rsidP="00DE78B3"/>
    <w:p w14:paraId="5E7F2D3D" w14:textId="77777777" w:rsidR="009C5AEA" w:rsidRDefault="00F52356" w:rsidP="00DE78B3">
      <w:pPr>
        <w:pStyle w:val="HeadingUnderlined"/>
      </w:pPr>
      <w:r>
        <w:lastRenderedPageBreak/>
        <w:t>Maladies gastro-intestinales</w:t>
      </w:r>
    </w:p>
    <w:p w14:paraId="4FF754FA" w14:textId="77777777" w:rsidR="009C5AEA" w:rsidRDefault="009C5AEA" w:rsidP="00DE78B3">
      <w:pPr>
        <w:keepNext/>
        <w:keepLines/>
      </w:pPr>
    </w:p>
    <w:p w14:paraId="5E83D029" w14:textId="77777777" w:rsidR="009C5AEA" w:rsidRDefault="00F52356" w:rsidP="00DE78B3">
      <w:pPr>
        <w:keepNext/>
        <w:keepLines/>
      </w:pPr>
      <w:r>
        <w:t>Chez les personnes atteintes de gastro-entérite aiguë, la vaccination doit être reportée après le rétablissement, car cette maladie peut réduire la protection contre le choléra. Le degré de protection et les effets de la vaccination chez les personnes atteintes de maladies gastro-intestinales chroniques sont inconnus.</w:t>
      </w:r>
    </w:p>
    <w:p w14:paraId="01D5B0D4" w14:textId="77777777" w:rsidR="009C5AEA" w:rsidRDefault="009C5AEA" w:rsidP="00DE78B3"/>
    <w:p w14:paraId="7DED791F" w14:textId="77777777" w:rsidR="009C5AEA" w:rsidRDefault="00F52356" w:rsidP="00DE78B3">
      <w:pPr>
        <w:pStyle w:val="HeadingUnderlined"/>
      </w:pPr>
      <w:r>
        <w:t>Limites des données cliniques</w:t>
      </w:r>
    </w:p>
    <w:p w14:paraId="1A4C9EBD" w14:textId="77777777" w:rsidR="009C5AEA" w:rsidRDefault="009C5AEA" w:rsidP="00DE78B3">
      <w:pPr>
        <w:keepNext/>
      </w:pPr>
    </w:p>
    <w:p w14:paraId="0872889D" w14:textId="292C21D6" w:rsidR="009C5AEA" w:rsidRDefault="00F52356" w:rsidP="00DE78B3">
      <w:r>
        <w:t xml:space="preserve">Des essais cliniques ont été menés chez personnes âgées de </w:t>
      </w:r>
      <w:r w:rsidR="00B9136A">
        <w:t>2</w:t>
      </w:r>
      <w:r>
        <w:t xml:space="preserve"> à 64 ans. L’efficacité du vaccin a été démontrée </w:t>
      </w:r>
      <w:r w:rsidR="00B653C3">
        <w:t>lors</w:t>
      </w:r>
      <w:r>
        <w:t xml:space="preserve"> d’un test de provocation </w:t>
      </w:r>
      <w:r w:rsidR="00335E01">
        <w:t>avec le</w:t>
      </w:r>
      <w:r>
        <w:t xml:space="preserve"> choléra humain à 10 jours ou à 3 mois après la vaccination chez des adultes âgés de 18 à45 ans et d’une étude d</w:t>
      </w:r>
      <w:proofErr w:type="gramStart"/>
      <w:r>
        <w:t>’«</w:t>
      </w:r>
      <w:proofErr w:type="gramEnd"/>
      <w:r>
        <w:t> </w:t>
      </w:r>
      <w:proofErr w:type="spellStart"/>
      <w:r>
        <w:t>immunobridging</w:t>
      </w:r>
      <w:proofErr w:type="spellEnd"/>
      <w:r>
        <w:t xml:space="preserve"> » basée sur le taux de séroconversion appliquée à d’autres populations. Des données d’immunogénicité sont disponibles pour une période de </w:t>
      </w:r>
      <w:r w:rsidR="00B9136A">
        <w:t>24</w:t>
      </w:r>
      <w:r>
        <w:t> mois après la vaccination</w:t>
      </w:r>
      <w:r w:rsidR="00B9136A">
        <w:t xml:space="preserve"> (voir rubrique 5.1)</w:t>
      </w:r>
      <w:r>
        <w:t>. Il n’existe pas de données d’immunogénicité ou d’efficacité chez les personnes âgées de plus de 64 ans.</w:t>
      </w:r>
    </w:p>
    <w:p w14:paraId="2CEF9B3F" w14:textId="77777777" w:rsidR="009C5AEA" w:rsidRDefault="009C5AEA" w:rsidP="00DE78B3"/>
    <w:p w14:paraId="7F2379CE" w14:textId="77777777" w:rsidR="009C5AEA" w:rsidRDefault="00F52356" w:rsidP="00DE78B3">
      <w:pPr>
        <w:pStyle w:val="HeadingUnderlined"/>
      </w:pPr>
      <w:r>
        <w:t>Excipients</w:t>
      </w:r>
    </w:p>
    <w:p w14:paraId="0F04BD57" w14:textId="77777777" w:rsidR="009C5AEA" w:rsidRDefault="009C5AEA" w:rsidP="00DE78B3">
      <w:pPr>
        <w:keepNext/>
      </w:pPr>
    </w:p>
    <w:p w14:paraId="43DA7C47" w14:textId="77777777" w:rsidR="006B110B" w:rsidRDefault="006B110B" w:rsidP="00DE78B3">
      <w:r>
        <w:t xml:space="preserve">Ce vaccin contient du lactose. </w:t>
      </w:r>
      <w:r w:rsidRPr="006B110B">
        <w:t>Les patients présentant une intolérance au galactose, un déficit total en lactase ou un syndrome de malabsorption du glucose et du galactose (maladies héréditaires rares) ne doivent pas prendre ce médicament.</w:t>
      </w:r>
    </w:p>
    <w:p w14:paraId="4B0F5928" w14:textId="77777777" w:rsidR="006B110B" w:rsidRDefault="006B110B" w:rsidP="00DE78B3"/>
    <w:p w14:paraId="43E05C7E" w14:textId="0200FEDE" w:rsidR="009C5AEA" w:rsidRDefault="006B110B" w:rsidP="00DE78B3">
      <w:r>
        <w:t xml:space="preserve">Ce vaccin contient du saccharose. </w:t>
      </w:r>
      <w:r w:rsidRPr="006B110B">
        <w:t>Les patients présentant une intolérance au fructose, un syndrome de malabsorption du glucose et du galactose ou un déficit en sucrase/</w:t>
      </w:r>
      <w:proofErr w:type="spellStart"/>
      <w:r w:rsidRPr="006B110B">
        <w:t>isomaltase</w:t>
      </w:r>
      <w:proofErr w:type="spellEnd"/>
      <w:r w:rsidRPr="006B110B">
        <w:t xml:space="preserve"> (maladies héréditaires rares) ne doivent pas prendre ce médicament.</w:t>
      </w:r>
    </w:p>
    <w:p w14:paraId="114915DC" w14:textId="77777777" w:rsidR="009C5AEA" w:rsidRDefault="009C5AEA" w:rsidP="00DE78B3"/>
    <w:p w14:paraId="3BD8425C" w14:textId="1DEDA2C9" w:rsidR="009C5AEA" w:rsidRDefault="006B110B" w:rsidP="00DE78B3">
      <w:r>
        <w:t>C</w:t>
      </w:r>
      <w:r w:rsidR="00F52356">
        <w:t>e vaccin contient 863 mg de sodium par dose, ce qui équivaut à 43</w:t>
      </w:r>
      <w:r w:rsidR="00096A6A">
        <w:t> </w:t>
      </w:r>
      <w:r w:rsidR="00F52356">
        <w:t xml:space="preserve">% </w:t>
      </w:r>
      <w:r w:rsidR="00335E01" w:rsidRPr="00335E01">
        <w:t>de l’apport alimentaire quotidien maximal recommandé par l’OMS de 2</w:t>
      </w:r>
      <w:r w:rsidR="00096A6A">
        <w:t> </w:t>
      </w:r>
      <w:r w:rsidR="00335E01" w:rsidRPr="00335E01">
        <w:t>g de sodium par adulte</w:t>
      </w:r>
      <w:r w:rsidR="00396A1A">
        <w:t xml:space="preserve"> sain</w:t>
      </w:r>
      <w:r w:rsidR="00F52356">
        <w:t>.</w:t>
      </w:r>
    </w:p>
    <w:p w14:paraId="7276880E" w14:textId="77777777" w:rsidR="009C5AEA" w:rsidRDefault="009C5AEA" w:rsidP="00DE78B3"/>
    <w:p w14:paraId="484E699C" w14:textId="77777777" w:rsidR="009C5AEA" w:rsidRPr="001A3B7C" w:rsidRDefault="00F52356" w:rsidP="001A3B7C">
      <w:pPr>
        <w:rPr>
          <w:b/>
          <w:bCs/>
        </w:rPr>
      </w:pPr>
      <w:r w:rsidRPr="001A3B7C">
        <w:rPr>
          <w:b/>
          <w:bCs/>
        </w:rPr>
        <w:t>4.5</w:t>
      </w:r>
      <w:r w:rsidRPr="001A3B7C">
        <w:rPr>
          <w:b/>
          <w:bCs/>
        </w:rPr>
        <w:tab/>
        <w:t>Interactions avec d’autres médicaments et autres formes d’interactions</w:t>
      </w:r>
    </w:p>
    <w:p w14:paraId="03366E80" w14:textId="77777777" w:rsidR="009C5AEA" w:rsidRDefault="009C5AEA" w:rsidP="00DE78B3">
      <w:pPr>
        <w:keepNext/>
      </w:pPr>
    </w:p>
    <w:p w14:paraId="5A39DC65" w14:textId="408AB2A4" w:rsidR="009C5AEA" w:rsidRDefault="00F52356" w:rsidP="00DE78B3">
      <w:r>
        <w:t xml:space="preserve">Aucune étude d’interaction n’a été réalisée avec Vaxchora. Toutefois les données et l’expérience clinique provenant d’autres vaccins peuvent être applicables à </w:t>
      </w:r>
      <w:r w:rsidR="00096A6A">
        <w:t>ce vaccin</w:t>
      </w:r>
      <w:r>
        <w:t>.</w:t>
      </w:r>
    </w:p>
    <w:p w14:paraId="184C7D80" w14:textId="77777777" w:rsidR="00DA188C" w:rsidRPr="00096A6A" w:rsidRDefault="00DA188C" w:rsidP="00DE78B3"/>
    <w:p w14:paraId="1F8E2A77" w14:textId="794D7503" w:rsidR="00096A6A" w:rsidRDefault="00096A6A" w:rsidP="00DE78B3">
      <w:pPr>
        <w:keepNext/>
      </w:pPr>
      <w:r>
        <w:rPr>
          <w:i/>
          <w:iCs/>
        </w:rPr>
        <w:t xml:space="preserve">Vaccin </w:t>
      </w:r>
      <w:proofErr w:type="spellStart"/>
      <w:r>
        <w:rPr>
          <w:i/>
          <w:iCs/>
        </w:rPr>
        <w:t>antityphoïdique</w:t>
      </w:r>
      <w:proofErr w:type="spellEnd"/>
      <w:r>
        <w:rPr>
          <w:i/>
          <w:iCs/>
        </w:rPr>
        <w:t xml:space="preserve"> oral</w:t>
      </w:r>
    </w:p>
    <w:p w14:paraId="015BC0CC" w14:textId="77777777" w:rsidR="00DA188C" w:rsidRDefault="00DA188C" w:rsidP="00DE78B3">
      <w:pPr>
        <w:keepNext/>
      </w:pPr>
    </w:p>
    <w:p w14:paraId="517330B7" w14:textId="1EC482B6" w:rsidR="009C5AEA" w:rsidRDefault="00F52356" w:rsidP="00DE78B3">
      <w:r>
        <w:t xml:space="preserve">Un délai de 2 heures doit être respecté entre l’administration de </w:t>
      </w:r>
      <w:r w:rsidR="00096A6A">
        <w:t xml:space="preserve">ce vaccin </w:t>
      </w:r>
      <w:r>
        <w:t xml:space="preserve">et l’administration du vaccin </w:t>
      </w:r>
      <w:proofErr w:type="spellStart"/>
      <w:r>
        <w:t>antityphoïdique</w:t>
      </w:r>
      <w:proofErr w:type="spellEnd"/>
      <w:r>
        <w:t xml:space="preserve"> Ty21a (gélules </w:t>
      </w:r>
      <w:proofErr w:type="spellStart"/>
      <w:r>
        <w:t>gastrorésistantes</w:t>
      </w:r>
      <w:proofErr w:type="spellEnd"/>
      <w:r>
        <w:t xml:space="preserve">). En effet, la solution tampon administrée avec </w:t>
      </w:r>
      <w:r w:rsidR="00096A6A">
        <w:t xml:space="preserve">ce vaccin </w:t>
      </w:r>
      <w:r>
        <w:t>risque de perturber le passage gastro-intestinal des gélules.</w:t>
      </w:r>
    </w:p>
    <w:p w14:paraId="62FCD38C" w14:textId="77777777" w:rsidR="00DA188C" w:rsidRPr="00096A6A" w:rsidRDefault="00DA188C" w:rsidP="00DE78B3"/>
    <w:p w14:paraId="789E45F1" w14:textId="0B89445F" w:rsidR="00096A6A" w:rsidRDefault="00096A6A" w:rsidP="00DE78B3">
      <w:pPr>
        <w:keepNext/>
      </w:pPr>
      <w:r>
        <w:rPr>
          <w:i/>
          <w:iCs/>
        </w:rPr>
        <w:t>Antibiotiques</w:t>
      </w:r>
    </w:p>
    <w:p w14:paraId="4843E0F8" w14:textId="77777777" w:rsidR="00DA188C" w:rsidRDefault="00DA188C" w:rsidP="00DE78B3">
      <w:pPr>
        <w:keepNext/>
      </w:pPr>
    </w:p>
    <w:p w14:paraId="4138B6E0" w14:textId="1210E885" w:rsidR="009C5AEA" w:rsidRDefault="00F52356" w:rsidP="00DE78B3">
      <w:r>
        <w:t xml:space="preserve">L’administration concomitante de </w:t>
      </w:r>
      <w:r w:rsidR="00096A6A">
        <w:t xml:space="preserve">ce vaccin </w:t>
      </w:r>
      <w:r>
        <w:t xml:space="preserve">avec des antibiotiques systémiques actifs contre </w:t>
      </w:r>
      <w:r>
        <w:rPr>
          <w:rStyle w:val="Emphasis"/>
        </w:rPr>
        <w:t>V</w:t>
      </w:r>
      <w:r w:rsidR="00096A6A">
        <w:rPr>
          <w:rStyle w:val="Emphasis"/>
        </w:rPr>
        <w:t>ibrio</w:t>
      </w:r>
      <w:r>
        <w:t> </w:t>
      </w:r>
      <w:r>
        <w:rPr>
          <w:rStyle w:val="Emphasis"/>
        </w:rPr>
        <w:t>cholerae</w:t>
      </w:r>
      <w:r>
        <w:t xml:space="preserve"> doit être évitée. En effet, ces agents peuvent empêcher d’atteindre un degré de </w:t>
      </w:r>
      <w:r w:rsidR="00145377">
        <w:t xml:space="preserve">réplication </w:t>
      </w:r>
      <w:r>
        <w:t xml:space="preserve">suffisant pour induire une réponse immunitaire protectrice. </w:t>
      </w:r>
      <w:r w:rsidR="00096A6A">
        <w:t xml:space="preserve">Ce vaccin </w:t>
      </w:r>
      <w:r>
        <w:t xml:space="preserve">ne doit pas être administré aux patients ayant reçu des antibiotiques par voie orale ou parentérale dans les 14 jours précédant la vaccination. L’administration d’antibiotiques par voie orale ou parentérale doit également être évitée pendant les 10 jours suivant la vaccination par </w:t>
      </w:r>
      <w:r w:rsidR="00096A6A">
        <w:t>ce vaccin</w:t>
      </w:r>
      <w:r>
        <w:t>.</w:t>
      </w:r>
    </w:p>
    <w:p w14:paraId="6872EF62" w14:textId="77777777" w:rsidR="00DA188C" w:rsidRPr="00096A6A" w:rsidRDefault="00DA188C" w:rsidP="00DE78B3"/>
    <w:p w14:paraId="51017DBC" w14:textId="190B92F9" w:rsidR="00096A6A" w:rsidRDefault="00096A6A" w:rsidP="00DE78B3">
      <w:r>
        <w:rPr>
          <w:i/>
          <w:iCs/>
        </w:rPr>
        <w:t>Prophylaxie antipaludique</w:t>
      </w:r>
    </w:p>
    <w:p w14:paraId="737E81B0" w14:textId="77777777" w:rsidR="00DA188C" w:rsidRDefault="00DA188C" w:rsidP="00DE78B3">
      <w:pPr>
        <w:keepNext/>
      </w:pPr>
    </w:p>
    <w:p w14:paraId="3BCD1F42" w14:textId="3A1B1A6E" w:rsidR="009C5AEA" w:rsidRDefault="00F52356" w:rsidP="00DE78B3">
      <w:r>
        <w:t xml:space="preserve">Les données de l’étude sur un précédent vaccin contenant la souche CVD 103-HgR indiquent que les réponses immunitaires à Vaxchora et la protection contre le choléra peuvent être réduites lorsque </w:t>
      </w:r>
      <w:r w:rsidR="00096A6A">
        <w:t xml:space="preserve">ce vaccin </w:t>
      </w:r>
      <w:r>
        <w:t xml:space="preserve">est administré de manière concomitante avec la chloroquine. Administrer </w:t>
      </w:r>
      <w:r w:rsidR="00096A6A">
        <w:t xml:space="preserve">ce vaccin </w:t>
      </w:r>
      <w:r>
        <w:t xml:space="preserve">au moins 10 jours avant de commencer la prophylaxie antipaludique par la chloroquine. Il n’existe pas de données concernant l’utilisation concomitante de </w:t>
      </w:r>
      <w:r w:rsidR="00096A6A">
        <w:t xml:space="preserve">ce vaccin </w:t>
      </w:r>
      <w:r>
        <w:t>avec d’autres médicaments antipaludiques.</w:t>
      </w:r>
    </w:p>
    <w:p w14:paraId="1C567C10" w14:textId="77777777" w:rsidR="00DA188C" w:rsidRPr="00096A6A" w:rsidRDefault="00DA188C" w:rsidP="00DE78B3"/>
    <w:p w14:paraId="111AC5CF" w14:textId="30BDB0D7" w:rsidR="00096A6A" w:rsidRDefault="00096A6A" w:rsidP="00DE78B3">
      <w:r>
        <w:rPr>
          <w:i/>
          <w:iCs/>
        </w:rPr>
        <w:lastRenderedPageBreak/>
        <w:t>Aliments et boissons</w:t>
      </w:r>
    </w:p>
    <w:p w14:paraId="57423EF0" w14:textId="77777777" w:rsidR="00DA188C" w:rsidRDefault="00DA188C" w:rsidP="00DE78B3">
      <w:pPr>
        <w:keepNext/>
      </w:pPr>
    </w:p>
    <w:p w14:paraId="5642310C" w14:textId="3CD1CAB9" w:rsidR="009C5AEA" w:rsidRDefault="00F52356" w:rsidP="00DE78B3">
      <w:r>
        <w:t xml:space="preserve">Le vaccin est labile en milieu acide. Il est administré avec une solution tampon. Il convient d’éviter de manger et de boire pendant 60 minutes avant et après la prise </w:t>
      </w:r>
      <w:r w:rsidR="00096A6A">
        <w:t>de ce vaccin</w:t>
      </w:r>
      <w:r>
        <w:t>, car cela peut altérer l’effet protecteur de la solution tampon.</w:t>
      </w:r>
    </w:p>
    <w:p w14:paraId="44607958" w14:textId="77777777" w:rsidR="009C5AEA" w:rsidRDefault="009C5AEA" w:rsidP="00DE78B3"/>
    <w:p w14:paraId="441BF298" w14:textId="77777777" w:rsidR="009C5AEA" w:rsidRPr="001A3B7C" w:rsidRDefault="00F52356" w:rsidP="001A3B7C">
      <w:pPr>
        <w:rPr>
          <w:b/>
          <w:bCs/>
        </w:rPr>
      </w:pPr>
      <w:r w:rsidRPr="001A3B7C">
        <w:rPr>
          <w:b/>
          <w:bCs/>
        </w:rPr>
        <w:t>4.6</w:t>
      </w:r>
      <w:r w:rsidRPr="001A3B7C">
        <w:rPr>
          <w:b/>
          <w:bCs/>
        </w:rPr>
        <w:tab/>
        <w:t>Fertilité, grossesse et allaitement</w:t>
      </w:r>
    </w:p>
    <w:p w14:paraId="7F3691F3" w14:textId="77777777" w:rsidR="009C5AEA" w:rsidRDefault="009C5AEA" w:rsidP="00DE78B3">
      <w:pPr>
        <w:keepNext/>
      </w:pPr>
    </w:p>
    <w:p w14:paraId="6B8A0439" w14:textId="77777777" w:rsidR="009C5AEA" w:rsidRDefault="00F52356" w:rsidP="00DE78B3">
      <w:pPr>
        <w:pStyle w:val="HeadingUnderlined"/>
      </w:pPr>
      <w:r>
        <w:t>Grossesse</w:t>
      </w:r>
    </w:p>
    <w:p w14:paraId="28D0DCBE" w14:textId="77777777" w:rsidR="009C5AEA" w:rsidRDefault="009C5AEA" w:rsidP="00DE78B3">
      <w:pPr>
        <w:keepNext/>
      </w:pPr>
    </w:p>
    <w:p w14:paraId="6FB13D5C" w14:textId="77777777" w:rsidR="009C5AEA" w:rsidRDefault="00F52356" w:rsidP="00DE78B3">
      <w:r>
        <w:t>Il existe des données limitées sur l’utilisation de Vaxchora chez la femme enceinte.</w:t>
      </w:r>
    </w:p>
    <w:p w14:paraId="7D8BF88A" w14:textId="77777777" w:rsidR="009C5AEA" w:rsidRDefault="00F52356" w:rsidP="00DE78B3">
      <w:r>
        <w:t>Les études effectuées chez l’animal sont insuffisantes pour permettre de conclure sur la toxicité sur la reproduction (voir rubrique 5.3).</w:t>
      </w:r>
    </w:p>
    <w:p w14:paraId="7DCACBBA" w14:textId="575AF01A" w:rsidR="009C5AEA" w:rsidRDefault="00096A6A" w:rsidP="00DE78B3">
      <w:r>
        <w:t xml:space="preserve">Ce vaccin </w:t>
      </w:r>
      <w:r w:rsidR="00F52356">
        <w:t xml:space="preserve">ne doit être utilisé pendant la grossesse que si les bénéfices potentiels pour la mère l’emportent sur les </w:t>
      </w:r>
      <w:proofErr w:type="gramStart"/>
      <w:r w:rsidR="00F52356">
        <w:t>risques potentiels</w:t>
      </w:r>
      <w:proofErr w:type="gramEnd"/>
      <w:r w:rsidR="00F52356">
        <w:t>, y compris ceux pour le fœtus.</w:t>
      </w:r>
    </w:p>
    <w:p w14:paraId="67F699AD" w14:textId="77777777" w:rsidR="009C5AEA" w:rsidRDefault="009C5AEA" w:rsidP="00DE78B3"/>
    <w:p w14:paraId="7A726C78" w14:textId="77777777" w:rsidR="009C5AEA" w:rsidRDefault="00F52356" w:rsidP="00DE78B3">
      <w:pPr>
        <w:pStyle w:val="HeadingUnderlined"/>
      </w:pPr>
      <w:r>
        <w:t>Allaitement</w:t>
      </w:r>
    </w:p>
    <w:p w14:paraId="12B823A5" w14:textId="77777777" w:rsidR="009C5AEA" w:rsidRDefault="009C5AEA" w:rsidP="00DE78B3">
      <w:pPr>
        <w:keepNext/>
      </w:pPr>
    </w:p>
    <w:p w14:paraId="3D3C21B8" w14:textId="34F58283" w:rsidR="009C5AEA" w:rsidRDefault="00F52356" w:rsidP="00DE78B3">
      <w:r>
        <w:t xml:space="preserve">On ne sait pas si Vaxchora est excrété dans le lait maternel. Un risque pour l’enfant allaité ne peut être exclu. Une décision doit être prise soit d’interrompre l’allaitement soit de s’abstenir d’utiliser </w:t>
      </w:r>
      <w:r w:rsidR="00096A6A">
        <w:t>ce vaccin</w:t>
      </w:r>
      <w:r>
        <w:t xml:space="preserve"> en prenant en compte le bénéfice de l’allaitement pour l’enfant au regard du bénéfice </w:t>
      </w:r>
      <w:r w:rsidR="00096A6A">
        <w:t xml:space="preserve">du vaccin </w:t>
      </w:r>
      <w:r>
        <w:t>pour la femme.</w:t>
      </w:r>
    </w:p>
    <w:p w14:paraId="46E67333" w14:textId="77777777" w:rsidR="009C5AEA" w:rsidRDefault="009C5AEA" w:rsidP="00DE78B3"/>
    <w:p w14:paraId="11DE3FD3" w14:textId="77777777" w:rsidR="009C5AEA" w:rsidRDefault="00F52356" w:rsidP="00DE78B3">
      <w:pPr>
        <w:pStyle w:val="HeadingUnderlined"/>
      </w:pPr>
      <w:r>
        <w:t>Fertilité</w:t>
      </w:r>
    </w:p>
    <w:p w14:paraId="16434265" w14:textId="77777777" w:rsidR="009C5AEA" w:rsidRDefault="009C5AEA" w:rsidP="00DE78B3">
      <w:pPr>
        <w:keepNext/>
      </w:pPr>
    </w:p>
    <w:p w14:paraId="2D56CDC5" w14:textId="77777777" w:rsidR="009C5AEA" w:rsidRDefault="00F52356" w:rsidP="00DE78B3">
      <w:r>
        <w:t>Aucune donnée humaine ou animale sur l’effet de Vaxchora sur la fertilité n’est disponible.</w:t>
      </w:r>
    </w:p>
    <w:p w14:paraId="7620D76E" w14:textId="77777777" w:rsidR="009C5AEA" w:rsidRDefault="009C5AEA" w:rsidP="00DE78B3"/>
    <w:p w14:paraId="64F58122" w14:textId="77777777" w:rsidR="009C5AEA" w:rsidRPr="001A3B7C" w:rsidRDefault="00F52356" w:rsidP="001A3B7C">
      <w:pPr>
        <w:rPr>
          <w:b/>
          <w:bCs/>
        </w:rPr>
      </w:pPr>
      <w:r w:rsidRPr="001A3B7C">
        <w:rPr>
          <w:b/>
          <w:bCs/>
        </w:rPr>
        <w:t>4.7</w:t>
      </w:r>
      <w:r w:rsidRPr="001A3B7C">
        <w:rPr>
          <w:b/>
          <w:bCs/>
        </w:rPr>
        <w:tab/>
        <w:t>Effets sur l’aptitude à conduire des véhicules et à utiliser des machines</w:t>
      </w:r>
    </w:p>
    <w:p w14:paraId="3967DE07" w14:textId="77777777" w:rsidR="009C5AEA" w:rsidRDefault="009C5AEA" w:rsidP="00DE78B3">
      <w:pPr>
        <w:keepNext/>
      </w:pPr>
    </w:p>
    <w:p w14:paraId="60BD82DD" w14:textId="499CB774" w:rsidR="009C5AEA" w:rsidRDefault="00F52356" w:rsidP="00DE78B3">
      <w:r>
        <w:t>Le vaccin Vaxchora n’a aucun effet ou a un effet négligeable sur l’aptitude à conduire des véhicules et à utiliser des machines.</w:t>
      </w:r>
      <w:r w:rsidR="00001BD9">
        <w:t xml:space="preserve"> Cependant, certains des effets mentionnés dans la rubrique 4.8 (</w:t>
      </w:r>
      <w:r w:rsidR="00B736F9">
        <w:t>fatigue, sensation vertigineuse, par exemple</w:t>
      </w:r>
      <w:r w:rsidR="00001BD9">
        <w:t>) pourraient réduire temporairement l’aptitude à conduire des véhicules ou à utiliser des machines.</w:t>
      </w:r>
    </w:p>
    <w:p w14:paraId="61524DB2" w14:textId="77777777" w:rsidR="009C5AEA" w:rsidRDefault="009C5AEA" w:rsidP="00DE78B3"/>
    <w:p w14:paraId="2D7B97B5" w14:textId="77777777" w:rsidR="009C5AEA" w:rsidRPr="001A3B7C" w:rsidRDefault="00F52356" w:rsidP="001A3B7C">
      <w:pPr>
        <w:rPr>
          <w:b/>
          <w:bCs/>
        </w:rPr>
      </w:pPr>
      <w:r w:rsidRPr="001A3B7C">
        <w:rPr>
          <w:b/>
          <w:bCs/>
        </w:rPr>
        <w:t>4.8</w:t>
      </w:r>
      <w:r w:rsidRPr="001A3B7C">
        <w:rPr>
          <w:b/>
          <w:bCs/>
        </w:rPr>
        <w:tab/>
        <w:t>Effets indésirables</w:t>
      </w:r>
    </w:p>
    <w:p w14:paraId="7977BFC2" w14:textId="77777777" w:rsidR="009C5AEA" w:rsidRDefault="009C5AEA" w:rsidP="00DE78B3">
      <w:pPr>
        <w:keepNext/>
      </w:pPr>
    </w:p>
    <w:p w14:paraId="020480D9" w14:textId="1C36AB25" w:rsidR="009C5AEA" w:rsidRDefault="00F52356" w:rsidP="00DE78B3">
      <w:pPr>
        <w:pStyle w:val="HeadingUnderlined"/>
      </w:pPr>
      <w:r>
        <w:t xml:space="preserve">Résumé du profil de </w:t>
      </w:r>
      <w:r w:rsidR="00001BD9">
        <w:t>sécurité</w:t>
      </w:r>
    </w:p>
    <w:p w14:paraId="01CFB29E" w14:textId="77777777" w:rsidR="009C5AEA" w:rsidRDefault="009C5AEA" w:rsidP="00DE78B3">
      <w:pPr>
        <w:keepNext/>
      </w:pPr>
    </w:p>
    <w:p w14:paraId="18040A34" w14:textId="2DFA668B" w:rsidR="009C5AEA" w:rsidRDefault="00F52356" w:rsidP="00DE78B3">
      <w:r>
        <w:t>Les effets indésirables les plus fréquemment signalés après l’administration du vaccin Vaxchora sont la fatigue (30,2</w:t>
      </w:r>
      <w:r w:rsidR="00BD60AC">
        <w:t> </w:t>
      </w:r>
      <w:r>
        <w:t>%), les céphalées (28,3</w:t>
      </w:r>
      <w:r w:rsidR="00BD60AC">
        <w:t> </w:t>
      </w:r>
      <w:r>
        <w:t>%), les douleurs abdominales (18,4</w:t>
      </w:r>
      <w:r w:rsidR="00BD60AC">
        <w:t> </w:t>
      </w:r>
      <w:r>
        <w:t>%), les nausées/vomissements (17,</w:t>
      </w:r>
      <w:r w:rsidR="00B736F9">
        <w:t>9</w:t>
      </w:r>
      <w:r w:rsidR="00001BD9">
        <w:t> </w:t>
      </w:r>
      <w:r>
        <w:t xml:space="preserve">%) et l’appétit </w:t>
      </w:r>
      <w:r w:rsidR="00B736F9">
        <w:t xml:space="preserve">diminué </w:t>
      </w:r>
      <w:r>
        <w:t>(15,7</w:t>
      </w:r>
      <w:r w:rsidR="00BD60AC">
        <w:t> </w:t>
      </w:r>
      <w:r>
        <w:t>%).</w:t>
      </w:r>
    </w:p>
    <w:p w14:paraId="6E083D35" w14:textId="77777777" w:rsidR="009C5AEA" w:rsidRDefault="009C5AEA" w:rsidP="00DE78B3"/>
    <w:p w14:paraId="4D21080B" w14:textId="77777777" w:rsidR="009C5AEA" w:rsidRDefault="00F52356" w:rsidP="00DE78B3">
      <w:pPr>
        <w:pStyle w:val="HeadingUnderlined"/>
      </w:pPr>
      <w:r>
        <w:t>Tableau répertoriant les effets indésirables</w:t>
      </w:r>
    </w:p>
    <w:p w14:paraId="073E6418" w14:textId="02BB8EA3" w:rsidR="009C5AEA" w:rsidRDefault="00F52356" w:rsidP="00DE78B3">
      <w:r>
        <w:t>Les fréquences des effets indésirables sont classées de la façon suivante : Très fréquent (≥ 1/10) ; fréquent (≥ 1/100</w:t>
      </w:r>
      <w:r w:rsidR="00001BD9">
        <w:t>,</w:t>
      </w:r>
      <w:r>
        <w:t xml:space="preserve"> &lt; 1/10) ; peu fréquent (≥ 1/1 000</w:t>
      </w:r>
      <w:r w:rsidR="00001BD9">
        <w:t>,</w:t>
      </w:r>
      <w:r>
        <w:t xml:space="preserve"> &lt; 1/100) ; rare (≥ 1/10 000</w:t>
      </w:r>
      <w:r w:rsidR="00001BD9">
        <w:t>,</w:t>
      </w:r>
      <w:r>
        <w:t xml:space="preserve"> &lt; 1/1 000) ; très rare (&lt; 1/10 000), fréquence indéterminée (ne peut être estimée sur la base des données disponibles).</w:t>
      </w:r>
    </w:p>
    <w:p w14:paraId="7F9294E0" w14:textId="77777777" w:rsidR="009C5AEA" w:rsidRDefault="009C5AEA" w:rsidP="00DE78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1"/>
        <w:gridCol w:w="1936"/>
      </w:tblGrid>
      <w:tr w:rsidR="009C5AEA" w14:paraId="5066FDD4" w14:textId="77777777" w:rsidTr="00AC4A59">
        <w:trPr>
          <w:tblHeader/>
        </w:trPr>
        <w:tc>
          <w:tcPr>
            <w:tcW w:w="7141" w:type="dxa"/>
          </w:tcPr>
          <w:p w14:paraId="3566635D" w14:textId="77777777" w:rsidR="009C5AEA" w:rsidRDefault="00F52356" w:rsidP="00DE78B3">
            <w:pPr>
              <w:rPr>
                <w:rStyle w:val="Strong"/>
              </w:rPr>
            </w:pPr>
            <w:r>
              <w:rPr>
                <w:rStyle w:val="Strong"/>
              </w:rPr>
              <w:t>Effets indésirables</w:t>
            </w:r>
          </w:p>
        </w:tc>
        <w:tc>
          <w:tcPr>
            <w:tcW w:w="1936" w:type="dxa"/>
          </w:tcPr>
          <w:p w14:paraId="33FEC8B8" w14:textId="77777777" w:rsidR="009C5AEA" w:rsidRDefault="00F52356" w:rsidP="00DE78B3">
            <w:pPr>
              <w:rPr>
                <w:rStyle w:val="Strong"/>
              </w:rPr>
            </w:pPr>
            <w:r>
              <w:rPr>
                <w:rStyle w:val="Strong"/>
              </w:rPr>
              <w:t>Fréquence</w:t>
            </w:r>
          </w:p>
        </w:tc>
      </w:tr>
      <w:tr w:rsidR="009C5AEA" w14:paraId="08B5D4A1" w14:textId="77777777">
        <w:tc>
          <w:tcPr>
            <w:tcW w:w="9077" w:type="dxa"/>
            <w:gridSpan w:val="2"/>
          </w:tcPr>
          <w:p w14:paraId="1A2496B1" w14:textId="77777777" w:rsidR="009C5AEA" w:rsidRDefault="00F52356" w:rsidP="00DE78B3">
            <w:pPr>
              <w:rPr>
                <w:rStyle w:val="Emphasis"/>
              </w:rPr>
            </w:pPr>
            <w:r>
              <w:rPr>
                <w:rStyle w:val="Emphasis"/>
              </w:rPr>
              <w:t>Troubles du métabolisme et de la nutrition</w:t>
            </w:r>
          </w:p>
        </w:tc>
      </w:tr>
      <w:tr w:rsidR="009C5AEA" w14:paraId="3C16E88D" w14:textId="77777777">
        <w:tc>
          <w:tcPr>
            <w:tcW w:w="7141" w:type="dxa"/>
          </w:tcPr>
          <w:p w14:paraId="42AACD2D" w14:textId="77777777" w:rsidR="009C5AEA" w:rsidRDefault="00F52356" w:rsidP="00DE78B3">
            <w:r>
              <w:t>Appétit diminué</w:t>
            </w:r>
          </w:p>
        </w:tc>
        <w:tc>
          <w:tcPr>
            <w:tcW w:w="1936" w:type="dxa"/>
          </w:tcPr>
          <w:p w14:paraId="2D8E0307" w14:textId="77777777" w:rsidR="009C5AEA" w:rsidRDefault="00F52356" w:rsidP="00DE78B3">
            <w:r>
              <w:t>Très fréquent</w:t>
            </w:r>
          </w:p>
        </w:tc>
      </w:tr>
      <w:tr w:rsidR="009C5AEA" w14:paraId="3299DB37" w14:textId="77777777">
        <w:tc>
          <w:tcPr>
            <w:tcW w:w="9077" w:type="dxa"/>
            <w:gridSpan w:val="2"/>
          </w:tcPr>
          <w:p w14:paraId="55E44E3A" w14:textId="77777777" w:rsidR="009C5AEA" w:rsidRDefault="00F52356" w:rsidP="00DE78B3">
            <w:pPr>
              <w:rPr>
                <w:rStyle w:val="Emphasis"/>
              </w:rPr>
            </w:pPr>
            <w:r>
              <w:rPr>
                <w:rStyle w:val="Emphasis"/>
              </w:rPr>
              <w:t>Affections du système nerveux</w:t>
            </w:r>
          </w:p>
        </w:tc>
      </w:tr>
      <w:tr w:rsidR="009C5AEA" w14:paraId="5C47D8BD" w14:textId="77777777">
        <w:tc>
          <w:tcPr>
            <w:tcW w:w="7141" w:type="dxa"/>
          </w:tcPr>
          <w:p w14:paraId="537BA625" w14:textId="77777777" w:rsidR="009C5AEA" w:rsidRDefault="00F52356" w:rsidP="00DE78B3">
            <w:r>
              <w:t>Céphalée</w:t>
            </w:r>
          </w:p>
        </w:tc>
        <w:tc>
          <w:tcPr>
            <w:tcW w:w="1936" w:type="dxa"/>
          </w:tcPr>
          <w:p w14:paraId="49A1B920" w14:textId="77777777" w:rsidR="009C5AEA" w:rsidRDefault="00F52356" w:rsidP="00DE78B3">
            <w:r>
              <w:t>Très fréquent</w:t>
            </w:r>
          </w:p>
        </w:tc>
      </w:tr>
      <w:tr w:rsidR="009C5AEA" w14:paraId="1E7B4343" w14:textId="77777777">
        <w:tc>
          <w:tcPr>
            <w:tcW w:w="7141" w:type="dxa"/>
          </w:tcPr>
          <w:p w14:paraId="4B52BBE0" w14:textId="77777777" w:rsidR="009C5AEA" w:rsidRDefault="00F52356" w:rsidP="00DE78B3">
            <w:r>
              <w:t>Sensation vertigineuse</w:t>
            </w:r>
          </w:p>
        </w:tc>
        <w:tc>
          <w:tcPr>
            <w:tcW w:w="1936" w:type="dxa"/>
          </w:tcPr>
          <w:p w14:paraId="3FFE6BD3" w14:textId="77777777" w:rsidR="009C5AEA" w:rsidRDefault="00F52356" w:rsidP="00DE78B3">
            <w:r>
              <w:t>Peu fréquent</w:t>
            </w:r>
          </w:p>
        </w:tc>
      </w:tr>
      <w:tr w:rsidR="009C5AEA" w14:paraId="43029653" w14:textId="77777777">
        <w:tc>
          <w:tcPr>
            <w:tcW w:w="9077" w:type="dxa"/>
            <w:gridSpan w:val="2"/>
          </w:tcPr>
          <w:p w14:paraId="79D0315C" w14:textId="77777777" w:rsidR="009C5AEA" w:rsidRDefault="00F52356" w:rsidP="00DE78B3">
            <w:pPr>
              <w:rPr>
                <w:rStyle w:val="Emphasis"/>
              </w:rPr>
            </w:pPr>
            <w:r>
              <w:rPr>
                <w:rStyle w:val="Emphasis"/>
              </w:rPr>
              <w:t>Affections gastro-intestinales</w:t>
            </w:r>
          </w:p>
        </w:tc>
      </w:tr>
      <w:tr w:rsidR="009C5AEA" w14:paraId="31DC55CE" w14:textId="77777777">
        <w:tc>
          <w:tcPr>
            <w:tcW w:w="7141" w:type="dxa"/>
          </w:tcPr>
          <w:p w14:paraId="554DCA63" w14:textId="77777777" w:rsidR="009C5AEA" w:rsidRDefault="00F52356" w:rsidP="00DE78B3">
            <w:r>
              <w:t>Douleur abdominale, nausées/vomissements</w:t>
            </w:r>
          </w:p>
        </w:tc>
        <w:tc>
          <w:tcPr>
            <w:tcW w:w="1936" w:type="dxa"/>
          </w:tcPr>
          <w:p w14:paraId="245A28CF" w14:textId="77777777" w:rsidR="009C5AEA" w:rsidRDefault="00F52356" w:rsidP="00DE78B3">
            <w:r>
              <w:t>Très fréquent</w:t>
            </w:r>
          </w:p>
        </w:tc>
      </w:tr>
      <w:tr w:rsidR="009C5AEA" w14:paraId="6EA9003B" w14:textId="77777777">
        <w:tc>
          <w:tcPr>
            <w:tcW w:w="7141" w:type="dxa"/>
          </w:tcPr>
          <w:p w14:paraId="6CD49A0C" w14:textId="77777777" w:rsidR="009C5AEA" w:rsidRDefault="00F52356" w:rsidP="00DE78B3">
            <w:r>
              <w:t>Diarrhée</w:t>
            </w:r>
          </w:p>
        </w:tc>
        <w:tc>
          <w:tcPr>
            <w:tcW w:w="1936" w:type="dxa"/>
          </w:tcPr>
          <w:p w14:paraId="3326B2E0" w14:textId="77777777" w:rsidR="009C5AEA" w:rsidRDefault="00F52356" w:rsidP="00DE78B3">
            <w:r>
              <w:t>Fréquent</w:t>
            </w:r>
          </w:p>
        </w:tc>
      </w:tr>
      <w:tr w:rsidR="009C5AEA" w14:paraId="0CF0A4A5" w14:textId="77777777">
        <w:tc>
          <w:tcPr>
            <w:tcW w:w="7141" w:type="dxa"/>
          </w:tcPr>
          <w:p w14:paraId="647AD4DD" w14:textId="77777777" w:rsidR="009C5AEA" w:rsidRDefault="00F52356" w:rsidP="00DE78B3">
            <w:r>
              <w:lastRenderedPageBreak/>
              <w:t>Flatulences, constipation, ballonnement abdominal, dyspepsie, selles anormales, sécheresse buccale, éructation</w:t>
            </w:r>
          </w:p>
        </w:tc>
        <w:tc>
          <w:tcPr>
            <w:tcW w:w="1936" w:type="dxa"/>
          </w:tcPr>
          <w:p w14:paraId="5744FED2" w14:textId="77777777" w:rsidR="009C5AEA" w:rsidRDefault="00F52356" w:rsidP="00DE78B3">
            <w:r>
              <w:t>Peu fréquent</w:t>
            </w:r>
          </w:p>
        </w:tc>
      </w:tr>
      <w:tr w:rsidR="009C5AEA" w14:paraId="349A6F87" w14:textId="77777777">
        <w:tc>
          <w:tcPr>
            <w:tcW w:w="9077" w:type="dxa"/>
            <w:gridSpan w:val="2"/>
          </w:tcPr>
          <w:p w14:paraId="06E90611" w14:textId="77777777" w:rsidR="009C5AEA" w:rsidRDefault="00F52356" w:rsidP="00DE78B3">
            <w:r>
              <w:rPr>
                <w:rStyle w:val="Emphasis"/>
              </w:rPr>
              <w:t>Affections de la peau et du tissu sous-cutané</w:t>
            </w:r>
          </w:p>
        </w:tc>
      </w:tr>
      <w:tr w:rsidR="009C5AEA" w14:paraId="09F4ACEF" w14:textId="77777777">
        <w:tc>
          <w:tcPr>
            <w:tcW w:w="7141" w:type="dxa"/>
          </w:tcPr>
          <w:p w14:paraId="23B54E1C" w14:textId="77777777" w:rsidR="009C5AEA" w:rsidRDefault="00F52356" w:rsidP="00DE78B3">
            <w:r>
              <w:t>Rash</w:t>
            </w:r>
          </w:p>
        </w:tc>
        <w:tc>
          <w:tcPr>
            <w:tcW w:w="1936" w:type="dxa"/>
          </w:tcPr>
          <w:p w14:paraId="7D824742" w14:textId="77777777" w:rsidR="009C5AEA" w:rsidRDefault="00F52356" w:rsidP="00DE78B3">
            <w:r>
              <w:t>Peu fréquent</w:t>
            </w:r>
          </w:p>
        </w:tc>
      </w:tr>
      <w:tr w:rsidR="009C5AEA" w14:paraId="795B8523" w14:textId="77777777">
        <w:tc>
          <w:tcPr>
            <w:tcW w:w="9077" w:type="dxa"/>
            <w:gridSpan w:val="2"/>
          </w:tcPr>
          <w:p w14:paraId="0A9B0D57" w14:textId="77777777" w:rsidR="009C5AEA" w:rsidRDefault="00F52356" w:rsidP="00DE78B3">
            <w:pPr>
              <w:rPr>
                <w:rStyle w:val="Emphasis"/>
              </w:rPr>
            </w:pPr>
            <w:r>
              <w:rPr>
                <w:rStyle w:val="Emphasis"/>
              </w:rPr>
              <w:t>Affections musculosquelettiques et du tissu conjonctif</w:t>
            </w:r>
          </w:p>
        </w:tc>
      </w:tr>
      <w:tr w:rsidR="009C5AEA" w14:paraId="0F73CAA4" w14:textId="77777777">
        <w:tc>
          <w:tcPr>
            <w:tcW w:w="7141" w:type="dxa"/>
          </w:tcPr>
          <w:p w14:paraId="470F9B4E" w14:textId="77777777" w:rsidR="009C5AEA" w:rsidRDefault="00F52356" w:rsidP="00DE78B3">
            <w:r>
              <w:t>Arthralgie</w:t>
            </w:r>
          </w:p>
        </w:tc>
        <w:tc>
          <w:tcPr>
            <w:tcW w:w="1936" w:type="dxa"/>
          </w:tcPr>
          <w:p w14:paraId="3CC5E876" w14:textId="77777777" w:rsidR="009C5AEA" w:rsidRDefault="00F52356" w:rsidP="00DE78B3">
            <w:r>
              <w:t>Peu fréquent</w:t>
            </w:r>
          </w:p>
        </w:tc>
      </w:tr>
      <w:tr w:rsidR="009C5AEA" w14:paraId="148756B7" w14:textId="77777777">
        <w:tc>
          <w:tcPr>
            <w:tcW w:w="7141" w:type="dxa"/>
          </w:tcPr>
          <w:p w14:paraId="6831ABE6" w14:textId="77777777" w:rsidR="009C5AEA" w:rsidRDefault="00F52356" w:rsidP="00DE78B3">
            <w:r>
              <w:t>Frissons</w:t>
            </w:r>
          </w:p>
        </w:tc>
        <w:tc>
          <w:tcPr>
            <w:tcW w:w="1936" w:type="dxa"/>
          </w:tcPr>
          <w:p w14:paraId="549C8AD8" w14:textId="77777777" w:rsidR="009C5AEA" w:rsidRDefault="00F52356" w:rsidP="00DE78B3">
            <w:r>
              <w:t>Rare</w:t>
            </w:r>
          </w:p>
        </w:tc>
      </w:tr>
      <w:tr w:rsidR="009C5AEA" w14:paraId="2083ED27" w14:textId="77777777">
        <w:tc>
          <w:tcPr>
            <w:tcW w:w="9077" w:type="dxa"/>
            <w:gridSpan w:val="2"/>
          </w:tcPr>
          <w:p w14:paraId="27166095" w14:textId="77777777" w:rsidR="009C5AEA" w:rsidRDefault="00F52356" w:rsidP="00DE78B3">
            <w:pPr>
              <w:rPr>
                <w:rStyle w:val="Emphasis"/>
              </w:rPr>
            </w:pPr>
            <w:r>
              <w:rPr>
                <w:rStyle w:val="Emphasis"/>
              </w:rPr>
              <w:t>Troubles généraux et anomalies au site d’administration</w:t>
            </w:r>
          </w:p>
        </w:tc>
      </w:tr>
      <w:tr w:rsidR="009C5AEA" w14:paraId="228208A3" w14:textId="77777777">
        <w:tc>
          <w:tcPr>
            <w:tcW w:w="7141" w:type="dxa"/>
          </w:tcPr>
          <w:p w14:paraId="002DAD6A" w14:textId="77777777" w:rsidR="009C5AEA" w:rsidRDefault="00F52356" w:rsidP="00DE78B3">
            <w:r>
              <w:t>Fatigue</w:t>
            </w:r>
          </w:p>
        </w:tc>
        <w:tc>
          <w:tcPr>
            <w:tcW w:w="1936" w:type="dxa"/>
          </w:tcPr>
          <w:p w14:paraId="7362707B" w14:textId="77777777" w:rsidR="009C5AEA" w:rsidRDefault="00F52356" w:rsidP="00DE78B3">
            <w:r>
              <w:t>Très fréquent</w:t>
            </w:r>
          </w:p>
        </w:tc>
      </w:tr>
      <w:tr w:rsidR="009C5AEA" w14:paraId="25388CD2" w14:textId="77777777">
        <w:tc>
          <w:tcPr>
            <w:tcW w:w="7141" w:type="dxa"/>
          </w:tcPr>
          <w:p w14:paraId="719210EE" w14:textId="77777777" w:rsidR="009C5AEA" w:rsidRDefault="00F52356" w:rsidP="00DE78B3">
            <w:r>
              <w:t>Fièvre</w:t>
            </w:r>
          </w:p>
        </w:tc>
        <w:tc>
          <w:tcPr>
            <w:tcW w:w="1936" w:type="dxa"/>
          </w:tcPr>
          <w:p w14:paraId="0BA071C0" w14:textId="77777777" w:rsidR="009C5AEA" w:rsidRDefault="00F52356" w:rsidP="00DE78B3">
            <w:r>
              <w:t>Peu fréquent</w:t>
            </w:r>
          </w:p>
        </w:tc>
      </w:tr>
    </w:tbl>
    <w:p w14:paraId="057F255E" w14:textId="77777777" w:rsidR="009C5AEA" w:rsidRDefault="009C5AEA" w:rsidP="00DE78B3"/>
    <w:p w14:paraId="79C928CA" w14:textId="77777777" w:rsidR="009C5AEA" w:rsidRDefault="00F52356" w:rsidP="00DE78B3">
      <w:pPr>
        <w:pStyle w:val="HeadingUnderlined"/>
      </w:pPr>
      <w:r>
        <w:t>Population pédiatrique</w:t>
      </w:r>
    </w:p>
    <w:p w14:paraId="352EBC94" w14:textId="485DF9B0" w:rsidR="009C5AEA" w:rsidRDefault="00F52356" w:rsidP="00DE78B3">
      <w:r>
        <w:t xml:space="preserve">Un essai clinique a été mené chez </w:t>
      </w:r>
      <w:r w:rsidR="00B9136A">
        <w:t>550</w:t>
      </w:r>
      <w:r w:rsidR="00001BD9">
        <w:t> </w:t>
      </w:r>
      <w:r>
        <w:t xml:space="preserve">enfants âgés de </w:t>
      </w:r>
      <w:r w:rsidR="00B9136A">
        <w:t>2</w:t>
      </w:r>
      <w:r w:rsidR="00001BD9">
        <w:t> </w:t>
      </w:r>
      <w:r w:rsidR="00103D1D">
        <w:t>ans</w:t>
      </w:r>
      <w:r>
        <w:t xml:space="preserve"> à moins de 18 ans. D’après les résultats de cet essai, les types d’effets indésirables observés chez les enfants devraient être comparables à ceux des adultes. Certains effets indésirables étaient plus fréquents chez les enfants que chez les adultes, notamment : la fatigue (</w:t>
      </w:r>
      <w:r w:rsidR="00B9136A">
        <w:t>35,7</w:t>
      </w:r>
      <w:r w:rsidR="00001BD9">
        <w:t> </w:t>
      </w:r>
      <w:r>
        <w:t>% contre 30,2</w:t>
      </w:r>
      <w:r w:rsidR="00BD60AC">
        <w:t> </w:t>
      </w:r>
      <w:r>
        <w:t>%), les douleurs abdominales (</w:t>
      </w:r>
      <w:r w:rsidR="00B9136A">
        <w:t>27,8</w:t>
      </w:r>
      <w:r w:rsidR="00001BD9">
        <w:t> </w:t>
      </w:r>
      <w:r>
        <w:t>% contre 18,4</w:t>
      </w:r>
      <w:r w:rsidR="00001BD9">
        <w:t> </w:t>
      </w:r>
      <w:r>
        <w:t>%), les vomissements (</w:t>
      </w:r>
      <w:r w:rsidR="00B9136A">
        <w:t>3,8</w:t>
      </w:r>
      <w:r w:rsidR="00001BD9">
        <w:t> </w:t>
      </w:r>
      <w:r>
        <w:t>% contre 0,2</w:t>
      </w:r>
      <w:r w:rsidR="00001BD9">
        <w:t> </w:t>
      </w:r>
      <w:r>
        <w:t>%), l’appétit diminué (</w:t>
      </w:r>
      <w:r w:rsidR="00B9136A">
        <w:t>21,4</w:t>
      </w:r>
      <w:r w:rsidR="00001BD9">
        <w:t> </w:t>
      </w:r>
      <w:r>
        <w:t>% contre 15,7</w:t>
      </w:r>
      <w:r w:rsidR="00BD60AC">
        <w:t> </w:t>
      </w:r>
      <w:r>
        <w:t>%) et la fièvre (</w:t>
      </w:r>
      <w:r w:rsidR="00B9136A">
        <w:t>2,4</w:t>
      </w:r>
      <w:r w:rsidR="00001BD9">
        <w:t> </w:t>
      </w:r>
      <w:r>
        <w:t>% contre 0,8</w:t>
      </w:r>
      <w:r w:rsidR="00001BD9">
        <w:t> </w:t>
      </w:r>
      <w:r>
        <w:t>%).</w:t>
      </w:r>
    </w:p>
    <w:p w14:paraId="5D054285" w14:textId="77777777" w:rsidR="009C5AEA" w:rsidRDefault="009C5AEA" w:rsidP="00DE78B3"/>
    <w:p w14:paraId="2DD5D078" w14:textId="77777777" w:rsidR="009C5AEA" w:rsidRDefault="00F52356" w:rsidP="00DE78B3">
      <w:pPr>
        <w:pStyle w:val="HeadingUnderlined"/>
      </w:pPr>
      <w:r>
        <w:t>Déclaration des effets indésirables suspectés</w:t>
      </w:r>
    </w:p>
    <w:p w14:paraId="7EAB5180" w14:textId="18505A42" w:rsidR="009C5AEA" w:rsidRDefault="00F52356" w:rsidP="00DE78B3">
      <w:pPr>
        <w:keepNext/>
        <w:keepLines/>
      </w:pPr>
      <w:r>
        <w:t>La déclaration des effets indésirables suspectés après autorisation du médicament est importante. Elle permet une surveillance continue du rapport bénéfice/risque du médicament. Les professionnels de santé déclarent tout effet indésirable suspecté via</w:t>
      </w:r>
    </w:p>
    <w:p w14:paraId="7DDFD174" w14:textId="77777777" w:rsidR="005F0FB2" w:rsidRDefault="005F0FB2" w:rsidP="005F0FB2">
      <w:pPr>
        <w:keepNext/>
        <w:keepLines/>
      </w:pPr>
      <w:r>
        <w:t xml:space="preserve">Agence nationale de sécurité du médicament et des produits de santé (ANSM) et réseau des Centres Régionaux de Pharmacovigilance </w:t>
      </w:r>
    </w:p>
    <w:p w14:paraId="5E5F40A1" w14:textId="64AFE434" w:rsidR="005F0FB2" w:rsidRPr="005F0FB2" w:rsidRDefault="005F0FB2" w:rsidP="005F0FB2">
      <w:pPr>
        <w:keepNext/>
        <w:keepLines/>
        <w:rPr>
          <w:lang w:val="sv-SE"/>
        </w:rPr>
      </w:pPr>
      <w:r w:rsidRPr="005F0FB2">
        <w:rPr>
          <w:lang w:val="sv-SE"/>
        </w:rPr>
        <w:t xml:space="preserve">Site internet: </w:t>
      </w:r>
      <w:r>
        <w:fldChar w:fldCharType="begin"/>
      </w:r>
      <w:r w:rsidRPr="00184644">
        <w:rPr>
          <w:lang w:val="sv-SE"/>
        </w:rPr>
        <w:instrText>HYPERLINK "https://signalement.social-sante.gouv.fr/"</w:instrText>
      </w:r>
      <w:r>
        <w:fldChar w:fldCharType="separate"/>
      </w:r>
      <w:r w:rsidRPr="00D613D6">
        <w:rPr>
          <w:rStyle w:val="Hyperlink"/>
          <w:lang w:val="sv-SE"/>
        </w:rPr>
        <w:t>https://signalement.social-sante.gouv.fr/</w:t>
      </w:r>
      <w:r>
        <w:fldChar w:fldCharType="end"/>
      </w:r>
      <w:r>
        <w:rPr>
          <w:lang w:val="sv-SE"/>
        </w:rPr>
        <w:t xml:space="preserve"> </w:t>
      </w:r>
    </w:p>
    <w:p w14:paraId="10F1FCD2" w14:textId="77777777" w:rsidR="00823C84" w:rsidRPr="005F0FB2" w:rsidRDefault="00823C84" w:rsidP="00DE78B3">
      <w:pPr>
        <w:rPr>
          <w:lang w:val="sv-SE"/>
        </w:rPr>
      </w:pPr>
    </w:p>
    <w:p w14:paraId="17F11D1D" w14:textId="77777777" w:rsidR="009C5AEA" w:rsidRPr="001A3B7C" w:rsidRDefault="00F52356" w:rsidP="001A3B7C">
      <w:pPr>
        <w:rPr>
          <w:b/>
          <w:bCs/>
        </w:rPr>
      </w:pPr>
      <w:r w:rsidRPr="001A3B7C">
        <w:rPr>
          <w:b/>
          <w:bCs/>
        </w:rPr>
        <w:t>4.9</w:t>
      </w:r>
      <w:r w:rsidRPr="001A3B7C">
        <w:rPr>
          <w:b/>
          <w:bCs/>
        </w:rPr>
        <w:tab/>
        <w:t>Surdosage</w:t>
      </w:r>
    </w:p>
    <w:p w14:paraId="17F698D6" w14:textId="77777777" w:rsidR="009C5AEA" w:rsidRDefault="009C5AEA" w:rsidP="00DE78B3">
      <w:pPr>
        <w:keepNext/>
      </w:pPr>
    </w:p>
    <w:p w14:paraId="6A51FF2A" w14:textId="77777777" w:rsidR="009C5AEA" w:rsidRDefault="00F52356" w:rsidP="00DE78B3">
      <w:r>
        <w:t>L’administration de plusieurs doses de Vaxchora, à plusieurs semaines d’intervalle, a été signalée. Les effets indésirables signalés étaient comparables à ceux observés après administration de la dose recommandée.</w:t>
      </w:r>
    </w:p>
    <w:p w14:paraId="66B6DBA7" w14:textId="77777777" w:rsidR="009C5AEA" w:rsidRDefault="009C5AEA" w:rsidP="00DE78B3"/>
    <w:p w14:paraId="228312F8" w14:textId="77777777" w:rsidR="009C5AEA" w:rsidRPr="001A3B7C" w:rsidRDefault="00F52356" w:rsidP="001A3B7C">
      <w:pPr>
        <w:rPr>
          <w:b/>
          <w:bCs/>
        </w:rPr>
      </w:pPr>
      <w:r w:rsidRPr="001A3B7C">
        <w:rPr>
          <w:b/>
          <w:bCs/>
        </w:rPr>
        <w:t>5.</w:t>
      </w:r>
      <w:r w:rsidRPr="001A3B7C">
        <w:rPr>
          <w:b/>
          <w:bCs/>
        </w:rPr>
        <w:tab/>
        <w:t>PROPRIÉTÉS PHARMACOLOGIQUES</w:t>
      </w:r>
    </w:p>
    <w:p w14:paraId="197B7103" w14:textId="77777777" w:rsidR="009C5AEA" w:rsidRDefault="009C5AEA" w:rsidP="00DE78B3">
      <w:pPr>
        <w:keepNext/>
      </w:pPr>
    </w:p>
    <w:p w14:paraId="2FAB4D6B" w14:textId="77777777" w:rsidR="009C5AEA" w:rsidRPr="001A3B7C" w:rsidRDefault="00F52356" w:rsidP="001A3B7C">
      <w:pPr>
        <w:rPr>
          <w:b/>
          <w:bCs/>
        </w:rPr>
      </w:pPr>
      <w:r w:rsidRPr="001A3B7C">
        <w:rPr>
          <w:b/>
          <w:bCs/>
        </w:rPr>
        <w:t>5.1</w:t>
      </w:r>
      <w:r w:rsidRPr="001A3B7C">
        <w:rPr>
          <w:b/>
          <w:bCs/>
        </w:rPr>
        <w:tab/>
        <w:t>Propriétés pharmacodynamiques</w:t>
      </w:r>
    </w:p>
    <w:p w14:paraId="59C5C6BB" w14:textId="77777777" w:rsidR="009C5AEA" w:rsidRDefault="009C5AEA" w:rsidP="00DE78B3">
      <w:pPr>
        <w:keepNext/>
      </w:pPr>
    </w:p>
    <w:p w14:paraId="1365CB01" w14:textId="4E54A420" w:rsidR="009C5AEA" w:rsidRDefault="00F52356" w:rsidP="00DE78B3">
      <w:r>
        <w:t>Classe pharmacothérapeutique : Vaccins</w:t>
      </w:r>
      <w:r w:rsidR="00001BD9">
        <w:t>,</w:t>
      </w:r>
      <w:r>
        <w:t xml:space="preserve"> </w:t>
      </w:r>
      <w:r w:rsidR="001F2D73" w:rsidRPr="001F2D73">
        <w:t>vaccins contre le choléra</w:t>
      </w:r>
      <w:r>
        <w:t>, code ATC : J07AE02</w:t>
      </w:r>
    </w:p>
    <w:p w14:paraId="43299B63" w14:textId="77777777" w:rsidR="009C5AEA" w:rsidRDefault="009C5AEA" w:rsidP="00DE78B3"/>
    <w:p w14:paraId="2E3AFD62" w14:textId="77777777" w:rsidR="009C5AEA" w:rsidRDefault="00F52356" w:rsidP="00DE78B3">
      <w:pPr>
        <w:pStyle w:val="HeadingUnderlined"/>
      </w:pPr>
      <w:r>
        <w:t>Mécanisme d’action</w:t>
      </w:r>
    </w:p>
    <w:p w14:paraId="281758F7" w14:textId="43E8DD73" w:rsidR="009C5AEA" w:rsidRDefault="00F52356" w:rsidP="00DE78B3">
      <w:r>
        <w:t xml:space="preserve">Vaxchora contient la bactérie vivante atténuée du choléra (souche classique </w:t>
      </w:r>
      <w:proofErr w:type="spellStart"/>
      <w:r>
        <w:t>Inaba</w:t>
      </w:r>
      <w:proofErr w:type="spellEnd"/>
      <w:r>
        <w:t xml:space="preserve"> CVD 103-HgR de sérogroupe O1 de </w:t>
      </w:r>
      <w:r>
        <w:rPr>
          <w:rStyle w:val="Emphasis"/>
        </w:rPr>
        <w:t>V</w:t>
      </w:r>
      <w:r w:rsidR="00001BD9">
        <w:rPr>
          <w:rStyle w:val="Emphasis"/>
        </w:rPr>
        <w:t>ibrio</w:t>
      </w:r>
      <w:r>
        <w:t> </w:t>
      </w:r>
      <w:r>
        <w:rPr>
          <w:rStyle w:val="Emphasis"/>
        </w:rPr>
        <w:t>cholerae</w:t>
      </w:r>
      <w:r>
        <w:t xml:space="preserve">) qui se réplique dans le tube digestif de la personne atteinte et induit des réponses en anticorps </w:t>
      </w:r>
      <w:proofErr w:type="spellStart"/>
      <w:r>
        <w:t>vibriocides</w:t>
      </w:r>
      <w:proofErr w:type="spellEnd"/>
      <w:r>
        <w:t xml:space="preserve"> sériques et en lymphocytes B mémoire. Les mécanismes immunitaires conférant une protection contre le choléra après l’administration du vaccin n’ont pas été déterminés. Toutefois, dans le cadre d’une étude de provocation humaine, l’augmentation des taux d’anticorps </w:t>
      </w:r>
      <w:proofErr w:type="spellStart"/>
      <w:r>
        <w:t>vibriocides</w:t>
      </w:r>
      <w:proofErr w:type="spellEnd"/>
      <w:r>
        <w:t xml:space="preserve"> sériques 10 jours après la vaccination par </w:t>
      </w:r>
      <w:r w:rsidR="00001BD9">
        <w:t xml:space="preserve">ce vaccin </w:t>
      </w:r>
      <w:r>
        <w:t>a été associée à une protection immunitaire.</w:t>
      </w:r>
    </w:p>
    <w:p w14:paraId="22BCD6B2" w14:textId="77777777" w:rsidR="009C5AEA" w:rsidRDefault="009C5AEA" w:rsidP="00DE78B3"/>
    <w:p w14:paraId="418531C5" w14:textId="77777777" w:rsidR="009C5AEA" w:rsidRDefault="00F52356" w:rsidP="00DE78B3">
      <w:pPr>
        <w:pStyle w:val="HeadingUnderlined"/>
      </w:pPr>
      <w:r>
        <w:t>Etude de provocation portant sur l’efficacité de la vaccination contre le choléra</w:t>
      </w:r>
    </w:p>
    <w:p w14:paraId="2DD33ADE" w14:textId="022D10B3" w:rsidR="009C5AEA" w:rsidRDefault="00F52356" w:rsidP="00DE78B3">
      <w:r>
        <w:t>L’efficacité de Vaxchora contre le choléra a été démontrée dans le cadre d’une étude de provocation humaine menée sur 197</w:t>
      </w:r>
      <w:r w:rsidR="00001BD9">
        <w:t> </w:t>
      </w:r>
      <w:r>
        <w:t>adultes volontaires en bonne santé âgés en moyenne de 31 ans (plage : 18 à 45 ans, 62,9</w:t>
      </w:r>
      <w:r w:rsidR="00001BD9">
        <w:t> </w:t>
      </w:r>
      <w:r>
        <w:t>% d’hommes, 37,1</w:t>
      </w:r>
      <w:r w:rsidR="00001BD9">
        <w:t> </w:t>
      </w:r>
      <w:r>
        <w:t xml:space="preserve">% de femmes). Au cours de l’étude, un sous-groupe de personnes ayant reçu </w:t>
      </w:r>
      <w:r w:rsidR="00B55F32">
        <w:t xml:space="preserve">le vaccin </w:t>
      </w:r>
      <w:r>
        <w:t xml:space="preserve">ou un placebo a été exposé à la bactérie vivante </w:t>
      </w:r>
      <w:r>
        <w:rPr>
          <w:rStyle w:val="Emphasis"/>
        </w:rPr>
        <w:t>V</w:t>
      </w:r>
      <w:r w:rsidR="00B55F32">
        <w:rPr>
          <w:rStyle w:val="Emphasis"/>
        </w:rPr>
        <w:t>ibrio</w:t>
      </w:r>
      <w:r>
        <w:t> </w:t>
      </w:r>
      <w:r>
        <w:rPr>
          <w:rStyle w:val="Emphasis"/>
        </w:rPr>
        <w:t>cholerae</w:t>
      </w:r>
      <w:r>
        <w:t xml:space="preserve"> 10 jours après la vaccination (n = 68) ou 3 mois après la vaccination (n = 66). L’efficacité de la protection contre la diarrhée modérée à sévère est présentée dans le tableau 1.</w:t>
      </w:r>
    </w:p>
    <w:p w14:paraId="1B862A7F" w14:textId="77777777" w:rsidR="009C5AEA" w:rsidRDefault="009C5AEA" w:rsidP="00DE78B3"/>
    <w:p w14:paraId="0519076F" w14:textId="420713BA" w:rsidR="009C5AEA" w:rsidRDefault="00F52356" w:rsidP="00DE78B3">
      <w:r>
        <w:lastRenderedPageBreak/>
        <w:t xml:space="preserve">Chez les personnes du groupe sanguin O uniquement, l’efficacité de la protection contre la diarrhée modérée à sévère était de </w:t>
      </w:r>
      <w:r w:rsidR="00B55F32">
        <w:t>84,8 </w:t>
      </w:r>
      <w:r>
        <w:t xml:space="preserve">% dans le groupe de personnes exposées 10 jours après la vaccination (n = 19) et de </w:t>
      </w:r>
      <w:r w:rsidR="00B55F32">
        <w:t>78,4 </w:t>
      </w:r>
      <w:r>
        <w:t>% dans le groupe de personnes exposées 3 mois après la vaccination (n = 20).</w:t>
      </w:r>
    </w:p>
    <w:p w14:paraId="2C3ED0C4" w14:textId="77777777" w:rsidR="009C5AEA" w:rsidRDefault="009C5AEA" w:rsidP="00DE78B3"/>
    <w:p w14:paraId="00DBC5D3" w14:textId="248C91F3" w:rsidR="009C5AEA" w:rsidRDefault="00F52356" w:rsidP="00DE78B3">
      <w:pPr>
        <w:pStyle w:val="TableTitle"/>
        <w:ind w:left="0" w:firstLine="0"/>
        <w:outlineLvl w:val="9"/>
      </w:pPr>
      <w:r>
        <w:t xml:space="preserve">Tableau 1 : Efficacité de la protection dans la prévention de la diarrhée modérée à sévère après exposition à </w:t>
      </w:r>
      <w:r>
        <w:rPr>
          <w:rStyle w:val="Emphasis"/>
        </w:rPr>
        <w:t>V</w:t>
      </w:r>
      <w:r w:rsidR="00B55F32">
        <w:rPr>
          <w:rStyle w:val="Emphasis"/>
        </w:rPr>
        <w:t>ibrio</w:t>
      </w:r>
      <w:r>
        <w:t> </w:t>
      </w:r>
      <w:r>
        <w:rPr>
          <w:rStyle w:val="Emphasis"/>
        </w:rPr>
        <w:t>cholerae</w:t>
      </w:r>
      <w:r>
        <w:t xml:space="preserve"> de sérogroupe O1 et de sérotype </w:t>
      </w:r>
      <w:proofErr w:type="spellStart"/>
      <w:r>
        <w:t>Inaba</w:t>
      </w:r>
      <w:proofErr w:type="spellEnd"/>
      <w:r>
        <w:t>, biotype El Tor, 10 jours et 3 mois après la vaccination (population en intention de traiter)</w:t>
      </w:r>
    </w:p>
    <w:p w14:paraId="0A40E23C" w14:textId="77777777" w:rsidR="009C5AEA" w:rsidRDefault="009C5AEA" w:rsidP="00DE78B3">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4A0" w:firstRow="1" w:lastRow="0" w:firstColumn="1" w:lastColumn="0" w:noHBand="0" w:noVBand="1"/>
      </w:tblPr>
      <w:tblGrid>
        <w:gridCol w:w="2235"/>
        <w:gridCol w:w="2274"/>
        <w:gridCol w:w="2274"/>
        <w:gridCol w:w="2274"/>
      </w:tblGrid>
      <w:tr w:rsidR="009C5AEA" w14:paraId="196CB491" w14:textId="77777777">
        <w:tc>
          <w:tcPr>
            <w:tcW w:w="2325" w:type="dxa"/>
            <w:tcBorders>
              <w:top w:val="single" w:sz="12" w:space="0" w:color="auto"/>
              <w:left w:val="single" w:sz="12" w:space="0" w:color="auto"/>
              <w:bottom w:val="single" w:sz="12" w:space="0" w:color="auto"/>
              <w:right w:val="nil"/>
            </w:tcBorders>
            <w:vAlign w:val="bottom"/>
          </w:tcPr>
          <w:p w14:paraId="7633BC36" w14:textId="77777777" w:rsidR="009C5AEA" w:rsidRPr="00034DC9" w:rsidRDefault="00F52356" w:rsidP="00DE78B3">
            <w:pPr>
              <w:pStyle w:val="normal10pt"/>
              <w:keepNext/>
              <w:rPr>
                <w:rStyle w:val="Strong"/>
                <w:sz w:val="22"/>
              </w:rPr>
            </w:pPr>
            <w:r w:rsidRPr="00AD6E27">
              <w:rPr>
                <w:rStyle w:val="Strong"/>
                <w:sz w:val="22"/>
              </w:rPr>
              <w:t>Paramètre</w:t>
            </w:r>
          </w:p>
        </w:tc>
        <w:tc>
          <w:tcPr>
            <w:tcW w:w="2326" w:type="dxa"/>
            <w:tcBorders>
              <w:top w:val="single" w:sz="12" w:space="0" w:color="auto"/>
              <w:left w:val="nil"/>
              <w:bottom w:val="single" w:sz="12" w:space="0" w:color="auto"/>
              <w:right w:val="nil"/>
            </w:tcBorders>
            <w:vAlign w:val="bottom"/>
          </w:tcPr>
          <w:p w14:paraId="39C85399" w14:textId="77777777" w:rsidR="009C5AEA" w:rsidRPr="00AD6E27" w:rsidRDefault="00F52356" w:rsidP="00DE78B3">
            <w:pPr>
              <w:pStyle w:val="normal10pt"/>
              <w:jc w:val="center"/>
              <w:rPr>
                <w:rStyle w:val="Strong"/>
                <w:sz w:val="22"/>
              </w:rPr>
            </w:pPr>
            <w:r w:rsidRPr="00AD6E27">
              <w:rPr>
                <w:rStyle w:val="Strong"/>
                <w:sz w:val="22"/>
              </w:rPr>
              <w:t>Exposition à la bactérie 10 jours après l’administration du Vaxchora</w:t>
            </w:r>
          </w:p>
          <w:p w14:paraId="553BED12" w14:textId="77777777" w:rsidR="009C5AEA" w:rsidRPr="00AD6E27" w:rsidRDefault="00F52356" w:rsidP="00DE78B3">
            <w:pPr>
              <w:pStyle w:val="normal10pt"/>
              <w:jc w:val="center"/>
              <w:rPr>
                <w:sz w:val="22"/>
              </w:rPr>
            </w:pPr>
            <w:r w:rsidRPr="00AD6E27">
              <w:rPr>
                <w:sz w:val="22"/>
              </w:rPr>
              <w:t>N = 35</w:t>
            </w:r>
          </w:p>
        </w:tc>
        <w:tc>
          <w:tcPr>
            <w:tcW w:w="2326" w:type="dxa"/>
            <w:tcBorders>
              <w:top w:val="single" w:sz="12" w:space="0" w:color="auto"/>
              <w:left w:val="nil"/>
              <w:bottom w:val="single" w:sz="12" w:space="0" w:color="auto"/>
              <w:right w:val="nil"/>
            </w:tcBorders>
            <w:vAlign w:val="bottom"/>
          </w:tcPr>
          <w:p w14:paraId="7702B93B" w14:textId="77777777" w:rsidR="009C5AEA" w:rsidRPr="00AD6E27" w:rsidRDefault="00F52356" w:rsidP="00DE78B3">
            <w:pPr>
              <w:pStyle w:val="normal10pt"/>
              <w:jc w:val="center"/>
              <w:rPr>
                <w:rStyle w:val="Strong"/>
                <w:sz w:val="22"/>
              </w:rPr>
            </w:pPr>
            <w:r w:rsidRPr="00AD6E27">
              <w:rPr>
                <w:rStyle w:val="Strong"/>
                <w:sz w:val="22"/>
              </w:rPr>
              <w:t>Exposition à la bactérie 3 mois après l’administration du Vaxchora</w:t>
            </w:r>
          </w:p>
          <w:p w14:paraId="3E8909A4" w14:textId="77777777" w:rsidR="009C5AEA" w:rsidRPr="00AD6E27" w:rsidRDefault="00F52356" w:rsidP="00DE78B3">
            <w:pPr>
              <w:pStyle w:val="normal10pt"/>
              <w:jc w:val="center"/>
              <w:rPr>
                <w:sz w:val="22"/>
              </w:rPr>
            </w:pPr>
            <w:r w:rsidRPr="00AD6E27">
              <w:rPr>
                <w:sz w:val="22"/>
              </w:rPr>
              <w:t>N = 33</w:t>
            </w:r>
          </w:p>
        </w:tc>
        <w:tc>
          <w:tcPr>
            <w:tcW w:w="2326" w:type="dxa"/>
            <w:tcBorders>
              <w:top w:val="single" w:sz="12" w:space="0" w:color="auto"/>
              <w:left w:val="nil"/>
              <w:bottom w:val="single" w:sz="12" w:space="0" w:color="auto"/>
              <w:right w:val="single" w:sz="12" w:space="0" w:color="auto"/>
            </w:tcBorders>
            <w:vAlign w:val="bottom"/>
          </w:tcPr>
          <w:p w14:paraId="2A43A023" w14:textId="77777777" w:rsidR="009C5AEA" w:rsidRPr="00AD6E27" w:rsidRDefault="00F52356" w:rsidP="00DE78B3">
            <w:pPr>
              <w:pStyle w:val="normal10pt"/>
              <w:jc w:val="center"/>
              <w:rPr>
                <w:rStyle w:val="Strong"/>
                <w:sz w:val="22"/>
              </w:rPr>
            </w:pPr>
            <w:r w:rsidRPr="00AD6E27">
              <w:rPr>
                <w:rStyle w:val="Strong"/>
                <w:sz w:val="22"/>
              </w:rPr>
              <w:t>Exposition à la bactérie 10 jours ou 3 mois après l’administration d’un placebo combiné</w:t>
            </w:r>
          </w:p>
          <w:p w14:paraId="7F632418" w14:textId="77777777" w:rsidR="009C5AEA" w:rsidRPr="00AD6E27" w:rsidRDefault="00F52356" w:rsidP="00DE78B3">
            <w:pPr>
              <w:pStyle w:val="normal10pt"/>
              <w:jc w:val="center"/>
              <w:rPr>
                <w:sz w:val="22"/>
              </w:rPr>
            </w:pPr>
            <w:r w:rsidRPr="00AD6E27">
              <w:rPr>
                <w:sz w:val="22"/>
              </w:rPr>
              <w:t>N = 66</w:t>
            </w:r>
          </w:p>
        </w:tc>
      </w:tr>
      <w:tr w:rsidR="009C5AEA" w14:paraId="09BCDB52" w14:textId="77777777">
        <w:tc>
          <w:tcPr>
            <w:tcW w:w="2325" w:type="dxa"/>
            <w:tcBorders>
              <w:top w:val="single" w:sz="12" w:space="0" w:color="auto"/>
              <w:left w:val="single" w:sz="12" w:space="0" w:color="auto"/>
              <w:bottom w:val="nil"/>
              <w:right w:val="nil"/>
            </w:tcBorders>
          </w:tcPr>
          <w:p w14:paraId="7A57DE49" w14:textId="77777777" w:rsidR="009C5AEA" w:rsidRPr="00AD6E27" w:rsidRDefault="00F52356" w:rsidP="00DE78B3">
            <w:pPr>
              <w:pStyle w:val="normal10pt"/>
              <w:keepNext/>
              <w:rPr>
                <w:sz w:val="22"/>
              </w:rPr>
            </w:pPr>
            <w:r w:rsidRPr="00AD6E27">
              <w:rPr>
                <w:sz w:val="22"/>
              </w:rPr>
              <w:t>Nombre de sujets présentant une diarrhée modérée ou sévère (taux d’incidence)</w:t>
            </w:r>
          </w:p>
        </w:tc>
        <w:tc>
          <w:tcPr>
            <w:tcW w:w="2326" w:type="dxa"/>
            <w:tcBorders>
              <w:top w:val="single" w:sz="12" w:space="0" w:color="auto"/>
              <w:left w:val="nil"/>
              <w:bottom w:val="nil"/>
              <w:right w:val="nil"/>
            </w:tcBorders>
          </w:tcPr>
          <w:p w14:paraId="17F79EE4" w14:textId="7E82026D" w:rsidR="009C5AEA" w:rsidRPr="00AD6E27" w:rsidRDefault="00F52356" w:rsidP="00DE78B3">
            <w:pPr>
              <w:pStyle w:val="normal10pt"/>
              <w:jc w:val="center"/>
              <w:rPr>
                <w:sz w:val="22"/>
              </w:rPr>
            </w:pPr>
            <w:r w:rsidRPr="00AD6E27">
              <w:rPr>
                <w:sz w:val="22"/>
              </w:rPr>
              <w:t>2 (5,7</w:t>
            </w:r>
            <w:r w:rsidR="00B55F32" w:rsidRPr="00AD6E27">
              <w:rPr>
                <w:sz w:val="22"/>
              </w:rPr>
              <w:t> </w:t>
            </w:r>
            <w:r w:rsidRPr="00AD6E27">
              <w:rPr>
                <w:sz w:val="22"/>
              </w:rPr>
              <w:t>%)</w:t>
            </w:r>
          </w:p>
        </w:tc>
        <w:tc>
          <w:tcPr>
            <w:tcW w:w="2326" w:type="dxa"/>
            <w:tcBorders>
              <w:top w:val="single" w:sz="12" w:space="0" w:color="auto"/>
              <w:left w:val="nil"/>
              <w:bottom w:val="nil"/>
              <w:right w:val="nil"/>
            </w:tcBorders>
          </w:tcPr>
          <w:p w14:paraId="11975AC9" w14:textId="384AA0C3" w:rsidR="009C5AEA" w:rsidRPr="00AD6E27" w:rsidRDefault="00F52356" w:rsidP="00DE78B3">
            <w:pPr>
              <w:pStyle w:val="normal10pt"/>
              <w:jc w:val="center"/>
              <w:rPr>
                <w:sz w:val="22"/>
              </w:rPr>
            </w:pPr>
            <w:r w:rsidRPr="00AD6E27">
              <w:rPr>
                <w:sz w:val="22"/>
              </w:rPr>
              <w:t>4 (12,1</w:t>
            </w:r>
            <w:r w:rsidR="00B55F32" w:rsidRPr="00AD6E27">
              <w:rPr>
                <w:sz w:val="22"/>
              </w:rPr>
              <w:t> </w:t>
            </w:r>
            <w:r w:rsidRPr="00AD6E27">
              <w:rPr>
                <w:sz w:val="22"/>
              </w:rPr>
              <w:t>%)</w:t>
            </w:r>
          </w:p>
        </w:tc>
        <w:tc>
          <w:tcPr>
            <w:tcW w:w="2326" w:type="dxa"/>
            <w:tcBorders>
              <w:top w:val="single" w:sz="12" w:space="0" w:color="auto"/>
              <w:left w:val="nil"/>
              <w:bottom w:val="nil"/>
              <w:right w:val="single" w:sz="12" w:space="0" w:color="auto"/>
            </w:tcBorders>
          </w:tcPr>
          <w:p w14:paraId="76828F35" w14:textId="5669AD09" w:rsidR="009C5AEA" w:rsidRPr="00AD6E27" w:rsidRDefault="00F52356" w:rsidP="00DE78B3">
            <w:pPr>
              <w:pStyle w:val="normal10pt"/>
              <w:jc w:val="center"/>
              <w:rPr>
                <w:sz w:val="22"/>
              </w:rPr>
            </w:pPr>
            <w:r w:rsidRPr="00AD6E27">
              <w:rPr>
                <w:sz w:val="22"/>
              </w:rPr>
              <w:t>39 (59,1</w:t>
            </w:r>
            <w:r w:rsidR="00B55F32" w:rsidRPr="00AD6E27">
              <w:rPr>
                <w:sz w:val="22"/>
              </w:rPr>
              <w:t> </w:t>
            </w:r>
            <w:r w:rsidRPr="00AD6E27">
              <w:rPr>
                <w:sz w:val="22"/>
              </w:rPr>
              <w:t>%)</w:t>
            </w:r>
          </w:p>
        </w:tc>
      </w:tr>
      <w:tr w:rsidR="009C5AEA" w14:paraId="35105398" w14:textId="77777777">
        <w:tc>
          <w:tcPr>
            <w:tcW w:w="2325" w:type="dxa"/>
            <w:tcBorders>
              <w:top w:val="nil"/>
              <w:left w:val="single" w:sz="12" w:space="0" w:color="auto"/>
              <w:bottom w:val="single" w:sz="12" w:space="0" w:color="auto"/>
              <w:right w:val="nil"/>
            </w:tcBorders>
          </w:tcPr>
          <w:p w14:paraId="2D367E08" w14:textId="77777777" w:rsidR="009C5AEA" w:rsidRPr="00AD6E27" w:rsidRDefault="00F52356" w:rsidP="00DE78B3">
            <w:pPr>
              <w:pStyle w:val="normal10pt"/>
              <w:rPr>
                <w:sz w:val="22"/>
              </w:rPr>
            </w:pPr>
            <w:r w:rsidRPr="00AD6E27">
              <w:rPr>
                <w:sz w:val="22"/>
              </w:rPr>
              <w:t>Efficacité de la protection en %</w:t>
            </w:r>
          </w:p>
          <w:p w14:paraId="1E8DB6F3" w14:textId="3C152EBA" w:rsidR="009C5AEA" w:rsidRPr="00AD6E27" w:rsidRDefault="00F52356" w:rsidP="00DE78B3">
            <w:pPr>
              <w:pStyle w:val="normal10pt"/>
              <w:rPr>
                <w:sz w:val="22"/>
              </w:rPr>
            </w:pPr>
            <w:r w:rsidRPr="00AD6E27">
              <w:rPr>
                <w:sz w:val="22"/>
              </w:rPr>
              <w:t>[IC à 95</w:t>
            </w:r>
            <w:r w:rsidR="00B55F32" w:rsidRPr="00AD6E27">
              <w:rPr>
                <w:sz w:val="22"/>
              </w:rPr>
              <w:t> </w:t>
            </w:r>
            <w:r w:rsidRPr="00AD6E27">
              <w:rPr>
                <w:sz w:val="22"/>
              </w:rPr>
              <w:t>%]</w:t>
            </w:r>
          </w:p>
        </w:tc>
        <w:tc>
          <w:tcPr>
            <w:tcW w:w="2326" w:type="dxa"/>
            <w:tcBorders>
              <w:top w:val="nil"/>
              <w:left w:val="nil"/>
              <w:bottom w:val="single" w:sz="12" w:space="0" w:color="auto"/>
              <w:right w:val="nil"/>
            </w:tcBorders>
          </w:tcPr>
          <w:p w14:paraId="3DB04B0A" w14:textId="4201ADA3" w:rsidR="009C5AEA" w:rsidRPr="00AD6E27" w:rsidRDefault="00F52356" w:rsidP="00DE78B3">
            <w:pPr>
              <w:pStyle w:val="normal10pt"/>
              <w:jc w:val="center"/>
              <w:rPr>
                <w:sz w:val="22"/>
              </w:rPr>
            </w:pPr>
            <w:r w:rsidRPr="00AD6E27">
              <w:rPr>
                <w:sz w:val="22"/>
              </w:rPr>
              <w:t>90,3</w:t>
            </w:r>
            <w:r w:rsidR="00B55F32" w:rsidRPr="00AD6E27">
              <w:rPr>
                <w:sz w:val="22"/>
              </w:rPr>
              <w:t> </w:t>
            </w:r>
            <w:r w:rsidRPr="00AD6E27">
              <w:rPr>
                <w:sz w:val="22"/>
              </w:rPr>
              <w:t>%</w:t>
            </w:r>
          </w:p>
          <w:p w14:paraId="2F3B9267" w14:textId="66D4F2E6" w:rsidR="009C5AEA" w:rsidRPr="00AD6E27" w:rsidRDefault="00F52356" w:rsidP="00DE78B3">
            <w:pPr>
              <w:pStyle w:val="normal10pt"/>
              <w:jc w:val="center"/>
              <w:rPr>
                <w:sz w:val="22"/>
              </w:rPr>
            </w:pPr>
            <w:r w:rsidRPr="00AD6E27">
              <w:rPr>
                <w:sz w:val="22"/>
              </w:rPr>
              <w:t>[62,7</w:t>
            </w:r>
            <w:r w:rsidR="00B55F32" w:rsidRPr="00AD6E27">
              <w:rPr>
                <w:sz w:val="22"/>
              </w:rPr>
              <w:t> </w:t>
            </w:r>
            <w:r w:rsidRPr="00AD6E27">
              <w:rPr>
                <w:sz w:val="22"/>
              </w:rPr>
              <w:t>%, 100,0</w:t>
            </w:r>
            <w:r w:rsidR="00B55F32" w:rsidRPr="00AD6E27">
              <w:rPr>
                <w:sz w:val="22"/>
              </w:rPr>
              <w:t> </w:t>
            </w:r>
            <w:r w:rsidRPr="00AD6E27">
              <w:rPr>
                <w:sz w:val="22"/>
              </w:rPr>
              <w:t>%]</w:t>
            </w:r>
          </w:p>
        </w:tc>
        <w:tc>
          <w:tcPr>
            <w:tcW w:w="2326" w:type="dxa"/>
            <w:tcBorders>
              <w:top w:val="nil"/>
              <w:left w:val="nil"/>
              <w:bottom w:val="single" w:sz="12" w:space="0" w:color="auto"/>
              <w:right w:val="nil"/>
            </w:tcBorders>
          </w:tcPr>
          <w:p w14:paraId="1B6C561B" w14:textId="55C773A6" w:rsidR="009C5AEA" w:rsidRPr="00AD6E27" w:rsidRDefault="00F52356" w:rsidP="00DE78B3">
            <w:pPr>
              <w:pStyle w:val="normal10pt"/>
              <w:jc w:val="center"/>
              <w:rPr>
                <w:sz w:val="22"/>
              </w:rPr>
            </w:pPr>
            <w:r w:rsidRPr="00AD6E27">
              <w:rPr>
                <w:sz w:val="22"/>
              </w:rPr>
              <w:t>79,5</w:t>
            </w:r>
            <w:r w:rsidR="00B55F32" w:rsidRPr="00AD6E27">
              <w:rPr>
                <w:sz w:val="22"/>
              </w:rPr>
              <w:t> </w:t>
            </w:r>
            <w:r w:rsidRPr="00AD6E27">
              <w:rPr>
                <w:sz w:val="22"/>
              </w:rPr>
              <w:t>%</w:t>
            </w:r>
          </w:p>
          <w:p w14:paraId="263017BC" w14:textId="6BB9A899" w:rsidR="009C5AEA" w:rsidRPr="00AD6E27" w:rsidRDefault="00F52356" w:rsidP="00DE78B3">
            <w:pPr>
              <w:pStyle w:val="normal10pt"/>
              <w:jc w:val="center"/>
              <w:rPr>
                <w:sz w:val="22"/>
              </w:rPr>
            </w:pPr>
            <w:r w:rsidRPr="00AD6E27">
              <w:rPr>
                <w:sz w:val="22"/>
              </w:rPr>
              <w:t>[49,9</w:t>
            </w:r>
            <w:r w:rsidR="00B55F32" w:rsidRPr="00AD6E27">
              <w:rPr>
                <w:sz w:val="22"/>
              </w:rPr>
              <w:t> </w:t>
            </w:r>
            <w:r w:rsidRPr="00AD6E27">
              <w:rPr>
                <w:sz w:val="22"/>
              </w:rPr>
              <w:t>%, 100,0</w:t>
            </w:r>
            <w:r w:rsidR="00B55F32" w:rsidRPr="00AD6E27">
              <w:rPr>
                <w:sz w:val="22"/>
              </w:rPr>
              <w:t> </w:t>
            </w:r>
            <w:r w:rsidRPr="00AD6E27">
              <w:rPr>
                <w:sz w:val="22"/>
              </w:rPr>
              <w:t>%]</w:t>
            </w:r>
          </w:p>
        </w:tc>
        <w:tc>
          <w:tcPr>
            <w:tcW w:w="2326" w:type="dxa"/>
            <w:tcBorders>
              <w:top w:val="nil"/>
              <w:left w:val="nil"/>
              <w:bottom w:val="single" w:sz="12" w:space="0" w:color="auto"/>
              <w:right w:val="single" w:sz="12" w:space="0" w:color="auto"/>
            </w:tcBorders>
          </w:tcPr>
          <w:p w14:paraId="1E0B5D8B" w14:textId="77777777" w:rsidR="009C5AEA" w:rsidRPr="00AD6E27" w:rsidRDefault="00F52356" w:rsidP="00DE78B3">
            <w:pPr>
              <w:pStyle w:val="normal10pt"/>
              <w:jc w:val="center"/>
              <w:rPr>
                <w:sz w:val="22"/>
              </w:rPr>
            </w:pPr>
            <w:r w:rsidRPr="00AD6E27">
              <w:rPr>
                <w:sz w:val="22"/>
              </w:rPr>
              <w:t>-</w:t>
            </w:r>
          </w:p>
        </w:tc>
      </w:tr>
    </w:tbl>
    <w:p w14:paraId="4E63CD9A" w14:textId="0BD01528" w:rsidR="009C5AEA" w:rsidRDefault="00B55F32" w:rsidP="00DE78B3">
      <w:pPr>
        <w:rPr>
          <w:sz w:val="20"/>
          <w:szCs w:val="20"/>
        </w:rPr>
      </w:pPr>
      <w:r>
        <w:rPr>
          <w:sz w:val="20"/>
          <w:szCs w:val="20"/>
        </w:rPr>
        <w:t>N = nombre de sujets pour lesquels des échantillons analysables étaient disponibles.</w:t>
      </w:r>
    </w:p>
    <w:p w14:paraId="60BE2CE6" w14:textId="2121049B" w:rsidR="00B55F32" w:rsidRPr="00823C84" w:rsidRDefault="00B55F32" w:rsidP="00DE78B3">
      <w:pPr>
        <w:rPr>
          <w:sz w:val="20"/>
          <w:szCs w:val="20"/>
        </w:rPr>
      </w:pPr>
      <w:r>
        <w:rPr>
          <w:sz w:val="20"/>
          <w:szCs w:val="20"/>
        </w:rPr>
        <w:t>IC = intervalle de confiance.</w:t>
      </w:r>
    </w:p>
    <w:p w14:paraId="695E85E1" w14:textId="77777777" w:rsidR="00B55F32" w:rsidRDefault="00B55F32" w:rsidP="00DE78B3"/>
    <w:p w14:paraId="65D36F8D" w14:textId="77777777" w:rsidR="009C5AEA" w:rsidRDefault="00F52356" w:rsidP="00DE78B3">
      <w:pPr>
        <w:pStyle w:val="HeadingUnderlined"/>
      </w:pPr>
      <w:r>
        <w:t>Immunogénicité</w:t>
      </w:r>
    </w:p>
    <w:p w14:paraId="7B6B4F8F" w14:textId="35ECD6D9" w:rsidR="009C5AEA" w:rsidRDefault="00F52356" w:rsidP="00DE78B3">
      <w:r>
        <w:t xml:space="preserve">L’étude de provocation humaine a montré que la séroconversion </w:t>
      </w:r>
      <w:proofErr w:type="spellStart"/>
      <w:r>
        <w:t>vibriocide</w:t>
      </w:r>
      <w:proofErr w:type="spellEnd"/>
      <w:r>
        <w:t xml:space="preserve">, définie comme la multiplication par quatre ou plus des titres d’anticorps </w:t>
      </w:r>
      <w:proofErr w:type="spellStart"/>
      <w:r>
        <w:t>vibriocides</w:t>
      </w:r>
      <w:proofErr w:type="spellEnd"/>
      <w:r>
        <w:t xml:space="preserve"> sériques par rapport aux valeurs initiales, mesurés 10 jours après la vaccination, présentait une corrélation presque totale avec la protection contre la diarrhée modérée à sévère. La séroconversion a par conséquent été retenue comme la passerelle immunologique entre les adultes âgés de 18</w:t>
      </w:r>
      <w:r w:rsidR="00B55F32">
        <w:t> </w:t>
      </w:r>
      <w:r w:rsidR="00153CD8">
        <w:t xml:space="preserve">ans </w:t>
      </w:r>
      <w:r>
        <w:t>à moins de 46 ans dans l’étude de provocation et d’autres populations, notamment les adultes plus âgés et les enfants. Trois études supplémentaires ont été menées sur l’immunogénicité : un essai à grande échelle réalisé auprès de 3</w:t>
      </w:r>
      <w:r w:rsidR="001408F7">
        <w:t> </w:t>
      </w:r>
      <w:r>
        <w:t>146</w:t>
      </w:r>
      <w:r w:rsidR="001408F7">
        <w:t> </w:t>
      </w:r>
      <w:r>
        <w:t>adultes en bonne santé, âgés de 18</w:t>
      </w:r>
      <w:r w:rsidR="00B55F32">
        <w:t> </w:t>
      </w:r>
      <w:r w:rsidR="00153CD8">
        <w:t xml:space="preserve">ans </w:t>
      </w:r>
      <w:r>
        <w:t>à moins de 46 ans (âge moyen : 29,9 ans, plage : 18 à</w:t>
      </w:r>
      <w:r w:rsidR="00153CD8">
        <w:t xml:space="preserve"> </w:t>
      </w:r>
      <w:r>
        <w:t>46 ans, 45,2</w:t>
      </w:r>
      <w:r w:rsidR="00B55F32">
        <w:t> </w:t>
      </w:r>
      <w:r>
        <w:t>% d’hommes, 54,8</w:t>
      </w:r>
      <w:r w:rsidR="00B55F32">
        <w:t> </w:t>
      </w:r>
      <w:r>
        <w:t>% de femmes)</w:t>
      </w:r>
      <w:r w:rsidR="00B55F32">
        <w:t xml:space="preserve"> (étude 3)</w:t>
      </w:r>
      <w:r>
        <w:t>, un essai mené auprès de 398</w:t>
      </w:r>
      <w:r w:rsidR="00B55F32">
        <w:t> </w:t>
      </w:r>
      <w:r>
        <w:t>adultes en bonne santé âgés de 46</w:t>
      </w:r>
      <w:r w:rsidR="00B55F32">
        <w:t> ans</w:t>
      </w:r>
      <w:r>
        <w:t xml:space="preserve"> à moins de 65 ans (âge moyen : 53,8 ans, plage : 46 à</w:t>
      </w:r>
      <w:r w:rsidR="00153CD8">
        <w:t xml:space="preserve"> </w:t>
      </w:r>
      <w:r>
        <w:t>64 ans, 45,7</w:t>
      </w:r>
      <w:r w:rsidR="00B55F32">
        <w:t> </w:t>
      </w:r>
      <w:r>
        <w:t>% d’hommes, 54,3</w:t>
      </w:r>
      <w:r w:rsidR="00B55F32">
        <w:t> </w:t>
      </w:r>
      <w:r>
        <w:t xml:space="preserve">% de femmes) </w:t>
      </w:r>
      <w:r w:rsidR="00B55F32">
        <w:t xml:space="preserve">(étude 4) </w:t>
      </w:r>
      <w:r>
        <w:t xml:space="preserve">et un essai pédiatrique réalisé chez des sujets en bonne santé âgés de </w:t>
      </w:r>
      <w:r w:rsidR="00B9136A">
        <w:t>2</w:t>
      </w:r>
      <w:r w:rsidR="00B55F32">
        <w:t> </w:t>
      </w:r>
      <w:r w:rsidR="00103D1D">
        <w:t>ans</w:t>
      </w:r>
      <w:r>
        <w:t xml:space="preserve"> à</w:t>
      </w:r>
      <w:r w:rsidR="00301276">
        <w:t xml:space="preserve"> moins de </w:t>
      </w:r>
      <w:r w:rsidR="00B9136A">
        <w:t>18</w:t>
      </w:r>
      <w:r>
        <w:t> ans</w:t>
      </w:r>
      <w:r w:rsidR="00B55F32">
        <w:t xml:space="preserve"> (étude 5)</w:t>
      </w:r>
      <w:r>
        <w:t>. Des analyses d</w:t>
      </w:r>
      <w:proofErr w:type="gramStart"/>
      <w:r>
        <w:t>’«</w:t>
      </w:r>
      <w:proofErr w:type="gramEnd"/>
      <w:r>
        <w:t> </w:t>
      </w:r>
      <w:proofErr w:type="spellStart"/>
      <w:r>
        <w:t>immunobridging</w:t>
      </w:r>
      <w:proofErr w:type="spellEnd"/>
      <w:r>
        <w:t> » pré-spécifiées, basées sur les différences de taux de séroconversion, ont été réalisées pour démontrer la non-infériorité du taux de séroconversion entre les adultes plus âgés ou les sujets pédiatriques et les adultes âgés de 18</w:t>
      </w:r>
      <w:r w:rsidR="00B55F32">
        <w:t> </w:t>
      </w:r>
      <w:r w:rsidR="00153CD8">
        <w:t xml:space="preserve">ans </w:t>
      </w:r>
      <w:r>
        <w:t>à moins de 46 ans dans l’essai d’immunogénicité à grande échelle.</w:t>
      </w:r>
    </w:p>
    <w:p w14:paraId="5ED80AE5" w14:textId="77777777" w:rsidR="009C5AEA" w:rsidRDefault="009C5AEA" w:rsidP="00DE78B3"/>
    <w:p w14:paraId="2126ED67" w14:textId="114B66E0" w:rsidR="009C5AEA" w:rsidRDefault="00F52356" w:rsidP="00DE78B3">
      <w:r>
        <w:t>Les taux de séroconversion chez les personnes ayant reçu le vaccin et le placebo dans chaque essai</w:t>
      </w:r>
      <w:r w:rsidR="00B9136A">
        <w:t>, 10 </w:t>
      </w:r>
      <w:r w:rsidR="00B9136A" w:rsidRPr="00B9136A">
        <w:t>jours après la vaccination</w:t>
      </w:r>
      <w:r>
        <w:t>, ainsi que les résultats d</w:t>
      </w:r>
      <w:proofErr w:type="gramStart"/>
      <w:r>
        <w:t>’«</w:t>
      </w:r>
      <w:proofErr w:type="gramEnd"/>
      <w:r>
        <w:t> </w:t>
      </w:r>
      <w:proofErr w:type="spellStart"/>
      <w:r>
        <w:t>immunobridging</w:t>
      </w:r>
      <w:proofErr w:type="spellEnd"/>
      <w:r>
        <w:t xml:space="preserve"> », sont résumés dans les tableaux 2 et 4. </w:t>
      </w:r>
      <w:r w:rsidR="00B9136A">
        <w:t xml:space="preserve">Dans l’étude de </w:t>
      </w:r>
      <w:r w:rsidR="00153CD8">
        <w:t>« challenge-test »</w:t>
      </w:r>
      <w:r w:rsidR="00B9136A">
        <w:t>, 79,8</w:t>
      </w:r>
      <w:r w:rsidR="00B55F32">
        <w:t> </w:t>
      </w:r>
      <w:r w:rsidR="00B9136A" w:rsidRPr="00B9136A">
        <w:t>% des sujets ont sub</w:t>
      </w:r>
      <w:r w:rsidR="001676E5">
        <w:t>i une séroconversion dans les 7 </w:t>
      </w:r>
      <w:r w:rsidR="00B9136A" w:rsidRPr="00B9136A">
        <w:t xml:space="preserve">jours suivant la vaccination. </w:t>
      </w:r>
      <w:r>
        <w:t>Les taux de séroconversion chez les adultes plus âgés et les sujets pédiatriques étaient non inférieurs à ceux des jeunes adultes.</w:t>
      </w:r>
    </w:p>
    <w:p w14:paraId="6D6E45B5" w14:textId="77777777" w:rsidR="009C5AEA" w:rsidRDefault="009C5AEA" w:rsidP="00DE78B3"/>
    <w:p w14:paraId="3A7520EC" w14:textId="14B65C38" w:rsidR="009C5AEA" w:rsidRDefault="00F52356" w:rsidP="00DE78B3">
      <w:r>
        <w:t>Dans les trois études réalisées</w:t>
      </w:r>
      <w:r w:rsidR="006C5FF7">
        <w:t xml:space="preserve"> </w:t>
      </w:r>
      <w:r>
        <w:t xml:space="preserve">sur des adultes, une augmentation significative du pourcentage de lymphocytes B mémoire sécrétant des anticorps IgG et </w:t>
      </w:r>
      <w:proofErr w:type="spellStart"/>
      <w:r>
        <w:t>IgA</w:t>
      </w:r>
      <w:proofErr w:type="spellEnd"/>
      <w:r>
        <w:t xml:space="preserve"> anti-lipopolysaccharide (LPS) de la souche O1 et de lymphocytes B mémoire sécrétant des IgG anti-toxine cholérique a été observée à 90 et 180 jours après la vaccination. Aucune relation n’a été observée entre l’âge et la réponse en lymphocytes B mémoire. Chez les sujets vaccinés, la moyenne géométrique des titres (GMT) des anticorps </w:t>
      </w:r>
      <w:proofErr w:type="spellStart"/>
      <w:r>
        <w:t>vibriocides</w:t>
      </w:r>
      <w:proofErr w:type="spellEnd"/>
      <w:r>
        <w:t xml:space="preserve"> sériques était également significativement supérieure à celle des personnes sous placebo à 90 et 180 jours après l’immunisation, dans tous les groupes d’âge. La durée de la protection </w:t>
      </w:r>
      <w:r w:rsidR="00153CD8">
        <w:t>n’est pas connue</w:t>
      </w:r>
      <w:r>
        <w:t>.</w:t>
      </w:r>
    </w:p>
    <w:p w14:paraId="3A7CD46D" w14:textId="77777777" w:rsidR="009C5AEA" w:rsidRDefault="009C5AEA" w:rsidP="00DE78B3"/>
    <w:p w14:paraId="61EE3981" w14:textId="32FC96B4" w:rsidR="009C5AEA" w:rsidRDefault="00F52356" w:rsidP="00DE78B3">
      <w:pPr>
        <w:pStyle w:val="TableTitle"/>
        <w:ind w:left="0" w:firstLine="0"/>
        <w:outlineLvl w:val="9"/>
      </w:pPr>
      <w:r>
        <w:t xml:space="preserve">Tableau 2 : Séroconversion des anticorps </w:t>
      </w:r>
      <w:proofErr w:type="spellStart"/>
      <w:r>
        <w:t>vibriocides</w:t>
      </w:r>
      <w:proofErr w:type="spellEnd"/>
      <w:r>
        <w:t xml:space="preserve"> contre la souche vaccinale classique </w:t>
      </w:r>
      <w:proofErr w:type="spellStart"/>
      <w:r>
        <w:t>Inaba</w:t>
      </w:r>
      <w:proofErr w:type="spellEnd"/>
      <w:r>
        <w:t xml:space="preserve"> </w:t>
      </w:r>
      <w:r>
        <w:rPr>
          <w:rStyle w:val="Emphasis"/>
        </w:rPr>
        <w:t>V</w:t>
      </w:r>
      <w:r w:rsidR="00B55F32">
        <w:rPr>
          <w:rStyle w:val="Emphasis"/>
        </w:rPr>
        <w:t>ibrio</w:t>
      </w:r>
      <w:r>
        <w:t> </w:t>
      </w:r>
      <w:r>
        <w:rPr>
          <w:rStyle w:val="Emphasis"/>
        </w:rPr>
        <w:t>cholerae</w:t>
      </w:r>
      <w:r>
        <w:t xml:space="preserve"> 10 jours après la vaccination </w:t>
      </w:r>
      <w:r w:rsidR="0000733A">
        <w:t>chez les</w:t>
      </w:r>
      <w:r>
        <w:t xml:space="preserve"> adulte</w:t>
      </w:r>
      <w:r w:rsidR="0000733A">
        <w:t>s</w:t>
      </w:r>
    </w:p>
    <w:p w14:paraId="0B20F6E3" w14:textId="77777777" w:rsidR="009C5AEA" w:rsidRDefault="009C5AEA" w:rsidP="00DE78B3">
      <w:pPr>
        <w:keepNext/>
      </w:pPr>
    </w:p>
    <w:tbl>
      <w:tblPr>
        <w:tblW w:w="9306" w:type="dxa"/>
        <w:tblBorders>
          <w:top w:val="single" w:sz="12" w:space="0" w:color="auto"/>
          <w:left w:val="single" w:sz="12" w:space="0" w:color="auto"/>
          <w:bottom w:val="single" w:sz="12" w:space="0" w:color="auto"/>
          <w:right w:val="single" w:sz="12" w:space="0" w:color="auto"/>
        </w:tblBorders>
        <w:tblLayout w:type="fixed"/>
        <w:tblCellMar>
          <w:top w:w="85" w:type="dxa"/>
          <w:bottom w:w="85" w:type="dxa"/>
        </w:tblCellMar>
        <w:tblLook w:val="04A0" w:firstRow="1" w:lastRow="0" w:firstColumn="1" w:lastColumn="0" w:noHBand="0" w:noVBand="1"/>
      </w:tblPr>
      <w:tblGrid>
        <w:gridCol w:w="1668"/>
        <w:gridCol w:w="1134"/>
        <w:gridCol w:w="1842"/>
        <w:gridCol w:w="6"/>
        <w:gridCol w:w="580"/>
        <w:gridCol w:w="1559"/>
        <w:gridCol w:w="2517"/>
      </w:tblGrid>
      <w:tr w:rsidR="009C5AEA" w:rsidRPr="00B55F32" w14:paraId="30A1DAB2" w14:textId="77777777">
        <w:tc>
          <w:tcPr>
            <w:tcW w:w="1668" w:type="dxa"/>
            <w:tcBorders>
              <w:top w:val="single" w:sz="12" w:space="0" w:color="auto"/>
              <w:bottom w:val="nil"/>
            </w:tcBorders>
            <w:vAlign w:val="bottom"/>
          </w:tcPr>
          <w:p w14:paraId="0AAC20F5" w14:textId="77777777" w:rsidR="009C5AEA" w:rsidRPr="00B55F32" w:rsidRDefault="00F52356" w:rsidP="00DE78B3">
            <w:pPr>
              <w:pStyle w:val="Normal10pt0"/>
              <w:keepNext/>
              <w:jc w:val="center"/>
              <w:rPr>
                <w:rStyle w:val="Strong"/>
                <w:sz w:val="22"/>
              </w:rPr>
            </w:pPr>
            <w:r w:rsidRPr="00AD6E27">
              <w:rPr>
                <w:rStyle w:val="Strong"/>
                <w:sz w:val="22"/>
              </w:rPr>
              <w:t>Étude</w:t>
            </w:r>
          </w:p>
        </w:tc>
        <w:tc>
          <w:tcPr>
            <w:tcW w:w="2976" w:type="dxa"/>
            <w:gridSpan w:val="2"/>
            <w:tcBorders>
              <w:top w:val="single" w:sz="12" w:space="0" w:color="auto"/>
              <w:bottom w:val="nil"/>
            </w:tcBorders>
            <w:vAlign w:val="bottom"/>
          </w:tcPr>
          <w:p w14:paraId="08791D37" w14:textId="77777777" w:rsidR="009C5AEA" w:rsidRPr="00AD6E27" w:rsidRDefault="00F52356" w:rsidP="00DE78B3">
            <w:pPr>
              <w:pStyle w:val="Normal10pt0"/>
              <w:keepNext/>
              <w:jc w:val="center"/>
              <w:rPr>
                <w:rStyle w:val="Strong"/>
                <w:sz w:val="22"/>
              </w:rPr>
            </w:pPr>
            <w:r w:rsidRPr="00AD6E27">
              <w:rPr>
                <w:rStyle w:val="Strong"/>
                <w:sz w:val="22"/>
              </w:rPr>
              <w:t>Personnes ayant reçu le vaccin Vaxchora</w:t>
            </w:r>
          </w:p>
        </w:tc>
        <w:tc>
          <w:tcPr>
            <w:tcW w:w="2145" w:type="dxa"/>
            <w:gridSpan w:val="3"/>
            <w:tcBorders>
              <w:top w:val="single" w:sz="12" w:space="0" w:color="auto"/>
              <w:bottom w:val="nil"/>
            </w:tcBorders>
            <w:vAlign w:val="bottom"/>
          </w:tcPr>
          <w:p w14:paraId="29628207" w14:textId="77777777" w:rsidR="009C5AEA" w:rsidRPr="00AD6E27" w:rsidRDefault="00F52356" w:rsidP="00DE78B3">
            <w:pPr>
              <w:pStyle w:val="Normal10pt0"/>
              <w:keepNext/>
              <w:jc w:val="center"/>
              <w:rPr>
                <w:rStyle w:val="Strong"/>
                <w:sz w:val="22"/>
              </w:rPr>
            </w:pPr>
            <w:r w:rsidRPr="00AD6E27">
              <w:rPr>
                <w:rStyle w:val="Strong"/>
                <w:sz w:val="22"/>
              </w:rPr>
              <w:t>Personnes ayant reçu le placebo</w:t>
            </w:r>
          </w:p>
        </w:tc>
        <w:tc>
          <w:tcPr>
            <w:tcW w:w="2517" w:type="dxa"/>
            <w:tcBorders>
              <w:top w:val="single" w:sz="12" w:space="0" w:color="auto"/>
              <w:bottom w:val="nil"/>
            </w:tcBorders>
            <w:vAlign w:val="bottom"/>
          </w:tcPr>
          <w:p w14:paraId="4322FF1D" w14:textId="1F2E4060" w:rsidR="009C5AEA" w:rsidRPr="00AD6E27" w:rsidRDefault="00F52356" w:rsidP="00DE78B3">
            <w:pPr>
              <w:pStyle w:val="Normal10pt0"/>
              <w:keepNext/>
              <w:jc w:val="center"/>
              <w:rPr>
                <w:rStyle w:val="Strong"/>
                <w:sz w:val="22"/>
              </w:rPr>
            </w:pPr>
            <w:proofErr w:type="spellStart"/>
            <w:r w:rsidRPr="00AD6E27">
              <w:rPr>
                <w:rStyle w:val="Strong"/>
                <w:sz w:val="22"/>
              </w:rPr>
              <w:t>Immunobridging</w:t>
            </w:r>
            <w:proofErr w:type="spellEnd"/>
            <w:r w:rsidRPr="00AD6E27">
              <w:rPr>
                <w:rStyle w:val="Strong"/>
                <w:sz w:val="22"/>
              </w:rPr>
              <w:t> : différence de taux de séroconversion par rapport à l’</w:t>
            </w:r>
            <w:r w:rsidR="00B55F32" w:rsidRPr="00AD6E27">
              <w:rPr>
                <w:rStyle w:val="Strong"/>
                <w:sz w:val="22"/>
              </w:rPr>
              <w:t>étude 3</w:t>
            </w:r>
            <w:r w:rsidRPr="00AD6E27">
              <w:rPr>
                <w:rStyle w:val="Strong"/>
                <w:sz w:val="22"/>
              </w:rPr>
              <w:t>, chez les adultes âgés de 18</w:t>
            </w:r>
            <w:r w:rsidRPr="00AD6E27">
              <w:rPr>
                <w:rStyle w:val="Strong"/>
                <w:sz w:val="22"/>
              </w:rPr>
              <w:noBreakHyphen/>
              <w:t>45 ans</w:t>
            </w:r>
          </w:p>
        </w:tc>
      </w:tr>
      <w:tr w:rsidR="009C5AEA" w:rsidRPr="00B55F32" w14:paraId="31364042" w14:textId="77777777">
        <w:tc>
          <w:tcPr>
            <w:tcW w:w="1668" w:type="dxa"/>
            <w:tcBorders>
              <w:top w:val="nil"/>
              <w:bottom w:val="single" w:sz="12" w:space="0" w:color="auto"/>
            </w:tcBorders>
            <w:vAlign w:val="bottom"/>
          </w:tcPr>
          <w:p w14:paraId="4C4FAC5D" w14:textId="77777777" w:rsidR="009C5AEA" w:rsidRPr="00AD6E27" w:rsidRDefault="00F52356" w:rsidP="00DE78B3">
            <w:pPr>
              <w:pStyle w:val="Normal10pt0"/>
              <w:keepNext/>
              <w:jc w:val="center"/>
              <w:rPr>
                <w:sz w:val="22"/>
              </w:rPr>
            </w:pPr>
            <w:r w:rsidRPr="00AD6E27">
              <w:rPr>
                <w:sz w:val="22"/>
              </w:rPr>
              <w:t>(</w:t>
            </w:r>
            <w:proofErr w:type="gramStart"/>
            <w:r w:rsidRPr="00AD6E27">
              <w:rPr>
                <w:sz w:val="22"/>
              </w:rPr>
              <w:t>âge</w:t>
            </w:r>
            <w:proofErr w:type="gramEnd"/>
            <w:r w:rsidRPr="00AD6E27">
              <w:rPr>
                <w:sz w:val="22"/>
              </w:rPr>
              <w:t xml:space="preserve"> en années)</w:t>
            </w:r>
          </w:p>
        </w:tc>
        <w:tc>
          <w:tcPr>
            <w:tcW w:w="1134" w:type="dxa"/>
            <w:tcBorders>
              <w:top w:val="nil"/>
              <w:bottom w:val="single" w:sz="12" w:space="0" w:color="auto"/>
            </w:tcBorders>
            <w:vAlign w:val="bottom"/>
          </w:tcPr>
          <w:p w14:paraId="2794537D" w14:textId="77777777" w:rsidR="009C5AEA" w:rsidRPr="00AD6E27" w:rsidRDefault="00F52356" w:rsidP="00DE78B3">
            <w:pPr>
              <w:pStyle w:val="Normal10pt0"/>
              <w:keepNext/>
              <w:jc w:val="center"/>
              <w:rPr>
                <w:sz w:val="22"/>
              </w:rPr>
            </w:pPr>
            <w:r w:rsidRPr="00AD6E27">
              <w:rPr>
                <w:sz w:val="22"/>
              </w:rPr>
              <w:t>N</w:t>
            </w:r>
            <w:r w:rsidRPr="00AD6E27">
              <w:rPr>
                <w:rStyle w:val="Superscript"/>
                <w:sz w:val="22"/>
              </w:rPr>
              <w:t>b</w:t>
            </w:r>
          </w:p>
        </w:tc>
        <w:tc>
          <w:tcPr>
            <w:tcW w:w="1842" w:type="dxa"/>
            <w:tcBorders>
              <w:top w:val="nil"/>
              <w:bottom w:val="single" w:sz="12" w:space="0" w:color="auto"/>
            </w:tcBorders>
            <w:vAlign w:val="bottom"/>
          </w:tcPr>
          <w:p w14:paraId="0053A4E0" w14:textId="77777777" w:rsidR="009C5AEA" w:rsidRPr="00AD6E27" w:rsidRDefault="00F52356" w:rsidP="00DE78B3">
            <w:pPr>
              <w:pStyle w:val="Normal10pt0"/>
              <w:keepNext/>
              <w:jc w:val="center"/>
              <w:rPr>
                <w:sz w:val="22"/>
              </w:rPr>
            </w:pPr>
            <w:proofErr w:type="spellStart"/>
            <w:r w:rsidRPr="00AD6E27">
              <w:rPr>
                <w:sz w:val="22"/>
              </w:rPr>
              <w:t>Séroconversion</w:t>
            </w:r>
            <w:r w:rsidRPr="00AD6E27">
              <w:rPr>
                <w:rStyle w:val="Superscript"/>
                <w:sz w:val="22"/>
              </w:rPr>
              <w:t>a</w:t>
            </w:r>
            <w:proofErr w:type="spellEnd"/>
          </w:p>
          <w:p w14:paraId="23E8DD46" w14:textId="77777777" w:rsidR="009C5AEA" w:rsidRPr="00AD6E27" w:rsidRDefault="00F52356" w:rsidP="00DE78B3">
            <w:pPr>
              <w:pStyle w:val="Normal10pt0"/>
              <w:keepNext/>
              <w:jc w:val="center"/>
              <w:rPr>
                <w:sz w:val="22"/>
              </w:rPr>
            </w:pPr>
            <w:r w:rsidRPr="00AD6E27">
              <w:rPr>
                <w:sz w:val="22"/>
              </w:rPr>
              <w:t>%</w:t>
            </w:r>
          </w:p>
          <w:p w14:paraId="377D8D3D" w14:textId="7083550A" w:rsidR="009C5AEA" w:rsidRPr="00AD6E27" w:rsidRDefault="00F52356" w:rsidP="00DE78B3">
            <w:pPr>
              <w:pStyle w:val="Normal10pt0"/>
              <w:keepNext/>
              <w:jc w:val="center"/>
              <w:rPr>
                <w:sz w:val="22"/>
              </w:rPr>
            </w:pPr>
            <w:r w:rsidRPr="00AD6E27">
              <w:rPr>
                <w:sz w:val="22"/>
              </w:rPr>
              <w:t>[IC à 95</w:t>
            </w:r>
            <w:r w:rsidR="00B55F32" w:rsidRPr="00AD6E27">
              <w:rPr>
                <w:sz w:val="22"/>
              </w:rPr>
              <w:t> </w:t>
            </w:r>
            <w:r w:rsidRPr="00AD6E27">
              <w:rPr>
                <w:sz w:val="22"/>
              </w:rPr>
              <w:t>%]</w:t>
            </w:r>
          </w:p>
        </w:tc>
        <w:tc>
          <w:tcPr>
            <w:tcW w:w="586" w:type="dxa"/>
            <w:gridSpan w:val="2"/>
            <w:tcBorders>
              <w:top w:val="nil"/>
              <w:bottom w:val="single" w:sz="12" w:space="0" w:color="auto"/>
            </w:tcBorders>
            <w:vAlign w:val="bottom"/>
          </w:tcPr>
          <w:p w14:paraId="66A037F9" w14:textId="77777777" w:rsidR="009C5AEA" w:rsidRPr="00AD6E27" w:rsidRDefault="00F52356" w:rsidP="00DE78B3">
            <w:pPr>
              <w:pStyle w:val="Normal10pt0"/>
              <w:keepNext/>
              <w:jc w:val="center"/>
              <w:rPr>
                <w:sz w:val="22"/>
              </w:rPr>
            </w:pPr>
            <w:r w:rsidRPr="00AD6E27">
              <w:rPr>
                <w:sz w:val="22"/>
              </w:rPr>
              <w:t>N</w:t>
            </w:r>
            <w:r w:rsidRPr="00AD6E27">
              <w:rPr>
                <w:rStyle w:val="Superscript"/>
                <w:sz w:val="22"/>
              </w:rPr>
              <w:t>b</w:t>
            </w:r>
          </w:p>
        </w:tc>
        <w:tc>
          <w:tcPr>
            <w:tcW w:w="1559" w:type="dxa"/>
            <w:tcBorders>
              <w:top w:val="nil"/>
              <w:bottom w:val="single" w:sz="12" w:space="0" w:color="auto"/>
            </w:tcBorders>
            <w:vAlign w:val="bottom"/>
          </w:tcPr>
          <w:p w14:paraId="2B902AFE" w14:textId="77777777" w:rsidR="009C5AEA" w:rsidRPr="00AD6E27" w:rsidRDefault="00F52356" w:rsidP="00DE78B3">
            <w:pPr>
              <w:pStyle w:val="Normal10pt0"/>
              <w:keepNext/>
              <w:jc w:val="center"/>
              <w:rPr>
                <w:sz w:val="22"/>
              </w:rPr>
            </w:pPr>
            <w:proofErr w:type="spellStart"/>
            <w:r w:rsidRPr="00AD6E27">
              <w:rPr>
                <w:sz w:val="22"/>
              </w:rPr>
              <w:t>Séroconversion</w:t>
            </w:r>
            <w:r w:rsidRPr="00AD6E27">
              <w:rPr>
                <w:rStyle w:val="Superscript"/>
                <w:sz w:val="22"/>
              </w:rPr>
              <w:t>a</w:t>
            </w:r>
            <w:proofErr w:type="spellEnd"/>
          </w:p>
          <w:p w14:paraId="54CE1C74" w14:textId="77777777" w:rsidR="009C5AEA" w:rsidRPr="00AD6E27" w:rsidRDefault="00F52356" w:rsidP="00DE78B3">
            <w:pPr>
              <w:pStyle w:val="Normal10pt0"/>
              <w:keepNext/>
              <w:jc w:val="center"/>
              <w:rPr>
                <w:sz w:val="22"/>
              </w:rPr>
            </w:pPr>
            <w:r w:rsidRPr="00AD6E27">
              <w:rPr>
                <w:sz w:val="22"/>
              </w:rPr>
              <w:t>%</w:t>
            </w:r>
          </w:p>
          <w:p w14:paraId="0226613D" w14:textId="47DFE24D" w:rsidR="009C5AEA" w:rsidRPr="00AD6E27" w:rsidRDefault="00F52356" w:rsidP="00DE78B3">
            <w:pPr>
              <w:pStyle w:val="Normal10pt0"/>
              <w:keepNext/>
              <w:jc w:val="center"/>
              <w:rPr>
                <w:sz w:val="22"/>
              </w:rPr>
            </w:pPr>
            <w:r w:rsidRPr="00AD6E27">
              <w:rPr>
                <w:sz w:val="22"/>
              </w:rPr>
              <w:t>[IC à 95</w:t>
            </w:r>
            <w:r w:rsidR="00B55F32" w:rsidRPr="00AD6E27">
              <w:rPr>
                <w:sz w:val="22"/>
              </w:rPr>
              <w:t> </w:t>
            </w:r>
            <w:r w:rsidRPr="00AD6E27">
              <w:rPr>
                <w:sz w:val="22"/>
              </w:rPr>
              <w:t>%</w:t>
            </w:r>
            <w:r w:rsidRPr="00AD6E27">
              <w:rPr>
                <w:rStyle w:val="Superscript"/>
                <w:sz w:val="22"/>
              </w:rPr>
              <w:t>c</w:t>
            </w:r>
            <w:r w:rsidRPr="00AD6E27">
              <w:rPr>
                <w:sz w:val="22"/>
              </w:rPr>
              <w:t>]</w:t>
            </w:r>
          </w:p>
        </w:tc>
        <w:tc>
          <w:tcPr>
            <w:tcW w:w="2517" w:type="dxa"/>
            <w:tcBorders>
              <w:top w:val="nil"/>
              <w:bottom w:val="single" w:sz="12" w:space="0" w:color="auto"/>
            </w:tcBorders>
            <w:vAlign w:val="bottom"/>
          </w:tcPr>
          <w:p w14:paraId="156D257F" w14:textId="77777777" w:rsidR="009C5AEA" w:rsidRPr="00AD6E27" w:rsidRDefault="00F52356" w:rsidP="00DE78B3">
            <w:pPr>
              <w:pStyle w:val="Normal10pt0"/>
              <w:keepNext/>
              <w:jc w:val="center"/>
              <w:rPr>
                <w:sz w:val="22"/>
              </w:rPr>
            </w:pPr>
            <w:r w:rsidRPr="00AD6E27">
              <w:rPr>
                <w:sz w:val="22"/>
              </w:rPr>
              <w:t>%</w:t>
            </w:r>
            <w:r w:rsidRPr="00AD6E27">
              <w:rPr>
                <w:rStyle w:val="Superscript"/>
                <w:sz w:val="22"/>
              </w:rPr>
              <w:t>d</w:t>
            </w:r>
          </w:p>
          <w:p w14:paraId="174445CB" w14:textId="53BAF0CC" w:rsidR="009C5AEA" w:rsidRPr="00AD6E27" w:rsidRDefault="00F52356" w:rsidP="00DE78B3">
            <w:pPr>
              <w:pStyle w:val="Normal10pt0"/>
              <w:keepNext/>
              <w:jc w:val="center"/>
              <w:rPr>
                <w:sz w:val="22"/>
              </w:rPr>
            </w:pPr>
            <w:r w:rsidRPr="00AD6E27">
              <w:rPr>
                <w:sz w:val="22"/>
              </w:rPr>
              <w:t>[IC à 95</w:t>
            </w:r>
            <w:r w:rsidR="00B55F32" w:rsidRPr="00AD6E27">
              <w:rPr>
                <w:sz w:val="22"/>
              </w:rPr>
              <w:t> </w:t>
            </w:r>
            <w:r w:rsidRPr="00AD6E27">
              <w:rPr>
                <w:sz w:val="22"/>
              </w:rPr>
              <w:t>%</w:t>
            </w:r>
            <w:r w:rsidRPr="00AD6E27">
              <w:rPr>
                <w:rStyle w:val="Superscript"/>
                <w:sz w:val="22"/>
              </w:rPr>
              <w:t>c</w:t>
            </w:r>
            <w:r w:rsidRPr="00AD6E27">
              <w:rPr>
                <w:sz w:val="22"/>
              </w:rPr>
              <w:t>]</w:t>
            </w:r>
          </w:p>
        </w:tc>
      </w:tr>
      <w:tr w:rsidR="009C5AEA" w:rsidRPr="00B55F32" w14:paraId="24B3E4BC" w14:textId="77777777">
        <w:tc>
          <w:tcPr>
            <w:tcW w:w="1668" w:type="dxa"/>
            <w:tcBorders>
              <w:top w:val="single" w:sz="12" w:space="0" w:color="auto"/>
            </w:tcBorders>
          </w:tcPr>
          <w:p w14:paraId="094BF0B5" w14:textId="77777777" w:rsidR="009C5AEA" w:rsidRPr="00AD6E27" w:rsidRDefault="00F52356" w:rsidP="00DE78B3">
            <w:pPr>
              <w:pStyle w:val="Normal10pt0"/>
              <w:keepNext/>
              <w:jc w:val="center"/>
              <w:rPr>
                <w:sz w:val="22"/>
              </w:rPr>
            </w:pPr>
            <w:r w:rsidRPr="00AD6E27">
              <w:rPr>
                <w:sz w:val="22"/>
              </w:rPr>
              <w:t>Essai de provocation</w:t>
            </w:r>
          </w:p>
          <w:p w14:paraId="415E033B" w14:textId="77777777" w:rsidR="009C5AEA" w:rsidRPr="00AD6E27" w:rsidRDefault="00F52356" w:rsidP="00DE78B3">
            <w:pPr>
              <w:pStyle w:val="Normal10pt0"/>
              <w:keepNext/>
              <w:jc w:val="center"/>
              <w:rPr>
                <w:sz w:val="22"/>
              </w:rPr>
            </w:pPr>
            <w:r w:rsidRPr="00AD6E27">
              <w:rPr>
                <w:sz w:val="22"/>
              </w:rPr>
              <w:t>(18 – 45)</w:t>
            </w:r>
          </w:p>
        </w:tc>
        <w:tc>
          <w:tcPr>
            <w:tcW w:w="1134" w:type="dxa"/>
            <w:tcBorders>
              <w:top w:val="single" w:sz="12" w:space="0" w:color="auto"/>
            </w:tcBorders>
          </w:tcPr>
          <w:p w14:paraId="4EAEC01B" w14:textId="77777777" w:rsidR="009C5AEA" w:rsidRPr="00AD6E27" w:rsidRDefault="00F52356" w:rsidP="00DE78B3">
            <w:pPr>
              <w:pStyle w:val="Normal10pt0"/>
              <w:keepNext/>
              <w:jc w:val="center"/>
              <w:rPr>
                <w:sz w:val="22"/>
              </w:rPr>
            </w:pPr>
            <w:r w:rsidRPr="00AD6E27">
              <w:rPr>
                <w:sz w:val="22"/>
              </w:rPr>
              <w:t>93</w:t>
            </w:r>
          </w:p>
        </w:tc>
        <w:tc>
          <w:tcPr>
            <w:tcW w:w="1848" w:type="dxa"/>
            <w:gridSpan w:val="2"/>
            <w:tcBorders>
              <w:top w:val="single" w:sz="12" w:space="0" w:color="auto"/>
            </w:tcBorders>
          </w:tcPr>
          <w:p w14:paraId="210CA533" w14:textId="4C8D39C3" w:rsidR="009C5AEA" w:rsidRPr="00AD6E27" w:rsidRDefault="00F52356" w:rsidP="00DE78B3">
            <w:pPr>
              <w:pStyle w:val="Normal10pt0"/>
              <w:keepNext/>
              <w:jc w:val="center"/>
              <w:rPr>
                <w:sz w:val="22"/>
              </w:rPr>
            </w:pPr>
            <w:r w:rsidRPr="00AD6E27">
              <w:rPr>
                <w:sz w:val="22"/>
              </w:rPr>
              <w:t>90,3</w:t>
            </w:r>
            <w:r w:rsidR="00B55F32" w:rsidRPr="00AD6E27">
              <w:rPr>
                <w:sz w:val="22"/>
              </w:rPr>
              <w:t> </w:t>
            </w:r>
            <w:r w:rsidRPr="00AD6E27">
              <w:rPr>
                <w:sz w:val="22"/>
              </w:rPr>
              <w:t>%</w:t>
            </w:r>
          </w:p>
          <w:p w14:paraId="7D2A63C0" w14:textId="1B862C5F" w:rsidR="009C5AEA" w:rsidRPr="00AD6E27" w:rsidRDefault="00F52356" w:rsidP="00DE78B3">
            <w:pPr>
              <w:pStyle w:val="Normal10pt0"/>
              <w:keepNext/>
              <w:jc w:val="center"/>
              <w:rPr>
                <w:sz w:val="22"/>
              </w:rPr>
            </w:pPr>
            <w:r w:rsidRPr="00AD6E27">
              <w:rPr>
                <w:sz w:val="22"/>
              </w:rPr>
              <w:t>[82,4</w:t>
            </w:r>
            <w:r w:rsidR="00B55F32" w:rsidRPr="00AD6E27">
              <w:rPr>
                <w:sz w:val="22"/>
              </w:rPr>
              <w:t> </w:t>
            </w:r>
            <w:r w:rsidRPr="00AD6E27">
              <w:rPr>
                <w:sz w:val="22"/>
              </w:rPr>
              <w:t>%, 95,5</w:t>
            </w:r>
            <w:r w:rsidR="00B55F32" w:rsidRPr="00AD6E27">
              <w:rPr>
                <w:sz w:val="22"/>
              </w:rPr>
              <w:t> </w:t>
            </w:r>
            <w:r w:rsidRPr="00AD6E27">
              <w:rPr>
                <w:sz w:val="22"/>
              </w:rPr>
              <w:t>%]</w:t>
            </w:r>
          </w:p>
        </w:tc>
        <w:tc>
          <w:tcPr>
            <w:tcW w:w="580" w:type="dxa"/>
            <w:tcBorders>
              <w:top w:val="single" w:sz="12" w:space="0" w:color="auto"/>
            </w:tcBorders>
          </w:tcPr>
          <w:p w14:paraId="5E41AEDD" w14:textId="77777777" w:rsidR="009C5AEA" w:rsidRPr="00AD6E27" w:rsidRDefault="00F52356" w:rsidP="00DE78B3">
            <w:pPr>
              <w:pStyle w:val="Normal10pt0"/>
              <w:keepNext/>
              <w:jc w:val="center"/>
              <w:rPr>
                <w:sz w:val="22"/>
              </w:rPr>
            </w:pPr>
            <w:r w:rsidRPr="00AD6E27">
              <w:rPr>
                <w:sz w:val="22"/>
              </w:rPr>
              <w:t>102</w:t>
            </w:r>
          </w:p>
        </w:tc>
        <w:tc>
          <w:tcPr>
            <w:tcW w:w="1559" w:type="dxa"/>
            <w:tcBorders>
              <w:top w:val="single" w:sz="12" w:space="0" w:color="auto"/>
            </w:tcBorders>
          </w:tcPr>
          <w:p w14:paraId="18DE46B4" w14:textId="5417134D" w:rsidR="009C5AEA" w:rsidRPr="00AD6E27" w:rsidRDefault="00F52356" w:rsidP="00DE78B3">
            <w:pPr>
              <w:pStyle w:val="Normal10pt0"/>
              <w:keepNext/>
              <w:jc w:val="center"/>
              <w:rPr>
                <w:sz w:val="22"/>
              </w:rPr>
            </w:pPr>
            <w:r w:rsidRPr="00AD6E27">
              <w:rPr>
                <w:sz w:val="22"/>
              </w:rPr>
              <w:t>2,0</w:t>
            </w:r>
            <w:r w:rsidR="00B55F32" w:rsidRPr="00AD6E27">
              <w:rPr>
                <w:sz w:val="22"/>
              </w:rPr>
              <w:t> </w:t>
            </w:r>
            <w:r w:rsidRPr="00AD6E27">
              <w:rPr>
                <w:sz w:val="22"/>
              </w:rPr>
              <w:t>%</w:t>
            </w:r>
          </w:p>
          <w:p w14:paraId="224B28E1" w14:textId="4EF3191C" w:rsidR="009C5AEA" w:rsidRPr="00AD6E27" w:rsidRDefault="00F52356" w:rsidP="00DE78B3">
            <w:pPr>
              <w:pStyle w:val="Normal10pt0"/>
              <w:keepNext/>
              <w:jc w:val="center"/>
              <w:rPr>
                <w:sz w:val="22"/>
              </w:rPr>
            </w:pPr>
            <w:r w:rsidRPr="00AD6E27">
              <w:rPr>
                <w:sz w:val="22"/>
              </w:rPr>
              <w:t>[0,2</w:t>
            </w:r>
            <w:r w:rsidR="00B55F32" w:rsidRPr="00AD6E27">
              <w:rPr>
                <w:sz w:val="22"/>
              </w:rPr>
              <w:t> </w:t>
            </w:r>
            <w:r w:rsidRPr="00AD6E27">
              <w:rPr>
                <w:sz w:val="22"/>
              </w:rPr>
              <w:t>%, 6,9</w:t>
            </w:r>
            <w:r w:rsidR="00B55F32" w:rsidRPr="00AD6E27">
              <w:rPr>
                <w:sz w:val="22"/>
              </w:rPr>
              <w:t> </w:t>
            </w:r>
            <w:r w:rsidRPr="00AD6E27">
              <w:rPr>
                <w:sz w:val="22"/>
              </w:rPr>
              <w:t>%]</w:t>
            </w:r>
          </w:p>
        </w:tc>
        <w:tc>
          <w:tcPr>
            <w:tcW w:w="2517" w:type="dxa"/>
            <w:tcBorders>
              <w:top w:val="single" w:sz="12" w:space="0" w:color="auto"/>
            </w:tcBorders>
          </w:tcPr>
          <w:p w14:paraId="386C1023" w14:textId="77777777" w:rsidR="009C5AEA" w:rsidRPr="00AD6E27" w:rsidRDefault="00F52356" w:rsidP="00DE78B3">
            <w:pPr>
              <w:pStyle w:val="Normal10pt0"/>
              <w:keepNext/>
              <w:jc w:val="center"/>
              <w:rPr>
                <w:sz w:val="22"/>
              </w:rPr>
            </w:pPr>
            <w:r w:rsidRPr="00AD6E27">
              <w:rPr>
                <w:sz w:val="22"/>
              </w:rPr>
              <w:t>-</w:t>
            </w:r>
          </w:p>
        </w:tc>
      </w:tr>
      <w:tr w:rsidR="009C5AEA" w:rsidRPr="00B55F32" w14:paraId="7741BBC4" w14:textId="77777777">
        <w:tc>
          <w:tcPr>
            <w:tcW w:w="1668" w:type="dxa"/>
          </w:tcPr>
          <w:p w14:paraId="245AC7DB" w14:textId="4C685334" w:rsidR="009C5AEA" w:rsidRPr="00AD6E27" w:rsidRDefault="00B55F32" w:rsidP="00DE78B3">
            <w:pPr>
              <w:pStyle w:val="Normal10pt0"/>
              <w:keepNext/>
              <w:jc w:val="center"/>
              <w:rPr>
                <w:sz w:val="22"/>
              </w:rPr>
            </w:pPr>
            <w:r w:rsidRPr="00AD6E27">
              <w:rPr>
                <w:sz w:val="22"/>
              </w:rPr>
              <w:t>Étude 3</w:t>
            </w:r>
          </w:p>
          <w:p w14:paraId="49B1E1F1" w14:textId="77777777" w:rsidR="009C5AEA" w:rsidRPr="00AD6E27" w:rsidRDefault="00F52356" w:rsidP="00DE78B3">
            <w:pPr>
              <w:pStyle w:val="Normal10pt0"/>
              <w:keepNext/>
              <w:jc w:val="center"/>
              <w:rPr>
                <w:sz w:val="22"/>
              </w:rPr>
            </w:pPr>
            <w:r w:rsidRPr="00AD6E27">
              <w:rPr>
                <w:sz w:val="22"/>
              </w:rPr>
              <w:t>(18 – 45)</w:t>
            </w:r>
          </w:p>
        </w:tc>
        <w:tc>
          <w:tcPr>
            <w:tcW w:w="1134" w:type="dxa"/>
          </w:tcPr>
          <w:p w14:paraId="4835BC08" w14:textId="77777777" w:rsidR="009C5AEA" w:rsidRPr="00AD6E27" w:rsidRDefault="00F52356" w:rsidP="00DE78B3">
            <w:pPr>
              <w:pStyle w:val="Normal10pt0"/>
              <w:keepNext/>
              <w:jc w:val="center"/>
              <w:rPr>
                <w:sz w:val="22"/>
              </w:rPr>
            </w:pPr>
            <w:r w:rsidRPr="00AD6E27">
              <w:rPr>
                <w:sz w:val="22"/>
              </w:rPr>
              <w:t>2 687</w:t>
            </w:r>
          </w:p>
        </w:tc>
        <w:tc>
          <w:tcPr>
            <w:tcW w:w="1848" w:type="dxa"/>
            <w:gridSpan w:val="2"/>
          </w:tcPr>
          <w:p w14:paraId="507B64CF" w14:textId="4C4EE75C" w:rsidR="009C5AEA" w:rsidRPr="00AD6E27" w:rsidRDefault="00F52356" w:rsidP="00DE78B3">
            <w:pPr>
              <w:pStyle w:val="Normal10pt0"/>
              <w:keepNext/>
              <w:jc w:val="center"/>
              <w:rPr>
                <w:sz w:val="22"/>
              </w:rPr>
            </w:pPr>
            <w:r w:rsidRPr="00AD6E27">
              <w:rPr>
                <w:sz w:val="22"/>
              </w:rPr>
              <w:t>93,5</w:t>
            </w:r>
            <w:r w:rsidR="00B55F32" w:rsidRPr="00AD6E27">
              <w:rPr>
                <w:sz w:val="22"/>
              </w:rPr>
              <w:t> </w:t>
            </w:r>
            <w:r w:rsidRPr="00AD6E27">
              <w:rPr>
                <w:sz w:val="22"/>
              </w:rPr>
              <w:t>%</w:t>
            </w:r>
          </w:p>
          <w:p w14:paraId="28D7343D" w14:textId="0747FE02" w:rsidR="009C5AEA" w:rsidRPr="00AD6E27" w:rsidRDefault="00F52356" w:rsidP="00DE78B3">
            <w:pPr>
              <w:pStyle w:val="Normal10pt0"/>
              <w:keepNext/>
              <w:jc w:val="center"/>
              <w:rPr>
                <w:sz w:val="22"/>
              </w:rPr>
            </w:pPr>
            <w:r w:rsidRPr="00AD6E27">
              <w:rPr>
                <w:sz w:val="22"/>
              </w:rPr>
              <w:t>[92,5</w:t>
            </w:r>
            <w:r w:rsidR="00B55F32" w:rsidRPr="00AD6E27">
              <w:rPr>
                <w:sz w:val="22"/>
              </w:rPr>
              <w:t> </w:t>
            </w:r>
            <w:r w:rsidRPr="00AD6E27">
              <w:rPr>
                <w:sz w:val="22"/>
              </w:rPr>
              <w:t>%, 94,4</w:t>
            </w:r>
            <w:r w:rsidR="00B55F32" w:rsidRPr="00AD6E27">
              <w:rPr>
                <w:sz w:val="22"/>
              </w:rPr>
              <w:t> </w:t>
            </w:r>
            <w:r w:rsidRPr="00AD6E27">
              <w:rPr>
                <w:sz w:val="22"/>
              </w:rPr>
              <w:t>%]</w:t>
            </w:r>
          </w:p>
        </w:tc>
        <w:tc>
          <w:tcPr>
            <w:tcW w:w="580" w:type="dxa"/>
          </w:tcPr>
          <w:p w14:paraId="62FBD63C" w14:textId="77777777" w:rsidR="009C5AEA" w:rsidRPr="00AD6E27" w:rsidRDefault="00F52356" w:rsidP="00DE78B3">
            <w:pPr>
              <w:pStyle w:val="Normal10pt0"/>
              <w:keepNext/>
              <w:jc w:val="center"/>
              <w:rPr>
                <w:sz w:val="22"/>
              </w:rPr>
            </w:pPr>
            <w:r w:rsidRPr="00AD6E27">
              <w:rPr>
                <w:sz w:val="22"/>
              </w:rPr>
              <w:t>334</w:t>
            </w:r>
          </w:p>
        </w:tc>
        <w:tc>
          <w:tcPr>
            <w:tcW w:w="1559" w:type="dxa"/>
          </w:tcPr>
          <w:p w14:paraId="72569FF9" w14:textId="79C072B1" w:rsidR="009C5AEA" w:rsidRPr="00AD6E27" w:rsidRDefault="00F52356" w:rsidP="00DE78B3">
            <w:pPr>
              <w:pStyle w:val="Normal10pt0"/>
              <w:keepNext/>
              <w:jc w:val="center"/>
              <w:rPr>
                <w:sz w:val="22"/>
              </w:rPr>
            </w:pPr>
            <w:r w:rsidRPr="00AD6E27">
              <w:rPr>
                <w:sz w:val="22"/>
              </w:rPr>
              <w:t>4,2</w:t>
            </w:r>
            <w:r w:rsidR="00B55F32" w:rsidRPr="00AD6E27">
              <w:rPr>
                <w:sz w:val="22"/>
              </w:rPr>
              <w:t> </w:t>
            </w:r>
            <w:r w:rsidRPr="00AD6E27">
              <w:rPr>
                <w:sz w:val="22"/>
              </w:rPr>
              <w:t>%</w:t>
            </w:r>
          </w:p>
          <w:p w14:paraId="00440E0B" w14:textId="5111610C" w:rsidR="009C5AEA" w:rsidRPr="00AD6E27" w:rsidRDefault="00F52356" w:rsidP="00DE78B3">
            <w:pPr>
              <w:pStyle w:val="Normal10pt0"/>
              <w:keepNext/>
              <w:jc w:val="center"/>
              <w:rPr>
                <w:sz w:val="22"/>
              </w:rPr>
            </w:pPr>
            <w:r w:rsidRPr="00AD6E27">
              <w:rPr>
                <w:sz w:val="22"/>
              </w:rPr>
              <w:t>[2,3</w:t>
            </w:r>
            <w:r w:rsidR="00B55F32" w:rsidRPr="00AD6E27">
              <w:rPr>
                <w:sz w:val="22"/>
              </w:rPr>
              <w:t> </w:t>
            </w:r>
            <w:r w:rsidRPr="00AD6E27">
              <w:rPr>
                <w:sz w:val="22"/>
              </w:rPr>
              <w:t>%, 6,9</w:t>
            </w:r>
            <w:r w:rsidR="00B55F32" w:rsidRPr="00AD6E27">
              <w:rPr>
                <w:sz w:val="22"/>
              </w:rPr>
              <w:t> </w:t>
            </w:r>
            <w:r w:rsidRPr="00AD6E27">
              <w:rPr>
                <w:sz w:val="22"/>
              </w:rPr>
              <w:t>%]</w:t>
            </w:r>
          </w:p>
        </w:tc>
        <w:tc>
          <w:tcPr>
            <w:tcW w:w="2517" w:type="dxa"/>
          </w:tcPr>
          <w:p w14:paraId="4DDB75C4" w14:textId="77777777" w:rsidR="009C5AEA" w:rsidRPr="00AD6E27" w:rsidRDefault="00F52356" w:rsidP="00DE78B3">
            <w:pPr>
              <w:pStyle w:val="Normal10pt0"/>
              <w:keepNext/>
              <w:jc w:val="center"/>
              <w:rPr>
                <w:sz w:val="22"/>
              </w:rPr>
            </w:pPr>
            <w:r w:rsidRPr="00AD6E27">
              <w:rPr>
                <w:sz w:val="22"/>
              </w:rPr>
              <w:t>-</w:t>
            </w:r>
          </w:p>
        </w:tc>
      </w:tr>
      <w:tr w:rsidR="009C5AEA" w:rsidRPr="00B55F32" w14:paraId="211573E5" w14:textId="77777777">
        <w:tc>
          <w:tcPr>
            <w:tcW w:w="1668" w:type="dxa"/>
          </w:tcPr>
          <w:p w14:paraId="2FCD3515" w14:textId="594CD1CC" w:rsidR="009C5AEA" w:rsidRPr="00AD6E27" w:rsidRDefault="00B55F32" w:rsidP="00DE78B3">
            <w:pPr>
              <w:pStyle w:val="Normal10pt0"/>
              <w:keepNext/>
              <w:jc w:val="center"/>
              <w:rPr>
                <w:sz w:val="22"/>
              </w:rPr>
            </w:pPr>
            <w:r w:rsidRPr="00AD6E27">
              <w:rPr>
                <w:sz w:val="22"/>
              </w:rPr>
              <w:t>Étude 4</w:t>
            </w:r>
          </w:p>
          <w:p w14:paraId="6E7A293D" w14:textId="77777777" w:rsidR="009C5AEA" w:rsidRPr="00AD6E27" w:rsidRDefault="00F52356" w:rsidP="00DE78B3">
            <w:pPr>
              <w:pStyle w:val="Normal10pt0"/>
              <w:keepNext/>
              <w:jc w:val="center"/>
              <w:rPr>
                <w:sz w:val="22"/>
              </w:rPr>
            </w:pPr>
            <w:r w:rsidRPr="00AD6E27">
              <w:rPr>
                <w:sz w:val="22"/>
              </w:rPr>
              <w:t>(46 – 64)</w:t>
            </w:r>
          </w:p>
        </w:tc>
        <w:tc>
          <w:tcPr>
            <w:tcW w:w="1134" w:type="dxa"/>
          </w:tcPr>
          <w:p w14:paraId="5F8CF55B" w14:textId="77777777" w:rsidR="009C5AEA" w:rsidRPr="00AD6E27" w:rsidRDefault="00F52356" w:rsidP="00DE78B3">
            <w:pPr>
              <w:pStyle w:val="Normal10pt0"/>
              <w:keepNext/>
              <w:jc w:val="center"/>
              <w:rPr>
                <w:sz w:val="22"/>
              </w:rPr>
            </w:pPr>
            <w:r w:rsidRPr="00AD6E27">
              <w:rPr>
                <w:sz w:val="22"/>
              </w:rPr>
              <w:t>291</w:t>
            </w:r>
          </w:p>
        </w:tc>
        <w:tc>
          <w:tcPr>
            <w:tcW w:w="1848" w:type="dxa"/>
            <w:gridSpan w:val="2"/>
          </w:tcPr>
          <w:p w14:paraId="3DAD88FD" w14:textId="6BB1C3EB" w:rsidR="009C5AEA" w:rsidRPr="00AD6E27" w:rsidRDefault="00F52356" w:rsidP="00DE78B3">
            <w:pPr>
              <w:pStyle w:val="Normal10pt0"/>
              <w:keepNext/>
              <w:jc w:val="center"/>
              <w:rPr>
                <w:sz w:val="22"/>
              </w:rPr>
            </w:pPr>
            <w:r w:rsidRPr="00AD6E27">
              <w:rPr>
                <w:sz w:val="22"/>
              </w:rPr>
              <w:t>90,4</w:t>
            </w:r>
            <w:r w:rsidR="00B55F32" w:rsidRPr="00AD6E27">
              <w:rPr>
                <w:sz w:val="22"/>
              </w:rPr>
              <w:t> </w:t>
            </w:r>
            <w:r w:rsidRPr="00AD6E27">
              <w:rPr>
                <w:sz w:val="22"/>
              </w:rPr>
              <w:t>%</w:t>
            </w:r>
          </w:p>
          <w:p w14:paraId="456D1F16" w14:textId="7BC357D8" w:rsidR="009C5AEA" w:rsidRPr="00AD6E27" w:rsidRDefault="00F52356" w:rsidP="00DE78B3">
            <w:pPr>
              <w:pStyle w:val="Normal10pt0"/>
              <w:keepNext/>
              <w:jc w:val="center"/>
              <w:rPr>
                <w:sz w:val="22"/>
              </w:rPr>
            </w:pPr>
            <w:r w:rsidRPr="00AD6E27">
              <w:rPr>
                <w:sz w:val="22"/>
              </w:rPr>
              <w:t>[86,4</w:t>
            </w:r>
            <w:r w:rsidR="00B55F32" w:rsidRPr="00AD6E27">
              <w:rPr>
                <w:sz w:val="22"/>
              </w:rPr>
              <w:t> </w:t>
            </w:r>
            <w:r w:rsidRPr="00AD6E27">
              <w:rPr>
                <w:sz w:val="22"/>
              </w:rPr>
              <w:t>%, 93,5</w:t>
            </w:r>
            <w:r w:rsidR="00B55F32" w:rsidRPr="00AD6E27">
              <w:rPr>
                <w:sz w:val="22"/>
              </w:rPr>
              <w:t> </w:t>
            </w:r>
            <w:r w:rsidRPr="00AD6E27">
              <w:rPr>
                <w:sz w:val="22"/>
              </w:rPr>
              <w:t>%]</w:t>
            </w:r>
          </w:p>
        </w:tc>
        <w:tc>
          <w:tcPr>
            <w:tcW w:w="580" w:type="dxa"/>
          </w:tcPr>
          <w:p w14:paraId="064E6C48" w14:textId="77777777" w:rsidR="009C5AEA" w:rsidRPr="00AD6E27" w:rsidRDefault="00F52356" w:rsidP="00DE78B3">
            <w:pPr>
              <w:pStyle w:val="Normal10pt0"/>
              <w:keepNext/>
              <w:jc w:val="center"/>
              <w:rPr>
                <w:sz w:val="22"/>
              </w:rPr>
            </w:pPr>
            <w:r w:rsidRPr="00AD6E27">
              <w:rPr>
                <w:sz w:val="22"/>
              </w:rPr>
              <w:t>99</w:t>
            </w:r>
          </w:p>
        </w:tc>
        <w:tc>
          <w:tcPr>
            <w:tcW w:w="1559" w:type="dxa"/>
          </w:tcPr>
          <w:p w14:paraId="099CBF1B" w14:textId="578886E3" w:rsidR="009C5AEA" w:rsidRPr="00AD6E27" w:rsidRDefault="00F52356" w:rsidP="00DE78B3">
            <w:pPr>
              <w:pStyle w:val="Normal10pt0"/>
              <w:keepNext/>
              <w:jc w:val="center"/>
              <w:rPr>
                <w:sz w:val="22"/>
              </w:rPr>
            </w:pPr>
            <w:r w:rsidRPr="00AD6E27">
              <w:rPr>
                <w:sz w:val="22"/>
              </w:rPr>
              <w:t>0</w:t>
            </w:r>
            <w:r w:rsidR="00B55F32" w:rsidRPr="00AD6E27">
              <w:rPr>
                <w:sz w:val="22"/>
              </w:rPr>
              <w:t> </w:t>
            </w:r>
            <w:r w:rsidRPr="00AD6E27">
              <w:rPr>
                <w:sz w:val="22"/>
              </w:rPr>
              <w:t>%</w:t>
            </w:r>
          </w:p>
          <w:p w14:paraId="5D5C2415" w14:textId="5FCFA9A8" w:rsidR="009C5AEA" w:rsidRPr="00AD6E27" w:rsidRDefault="00F52356" w:rsidP="00DE78B3">
            <w:pPr>
              <w:pStyle w:val="Normal10pt0"/>
              <w:keepNext/>
              <w:jc w:val="center"/>
              <w:rPr>
                <w:sz w:val="22"/>
              </w:rPr>
            </w:pPr>
            <w:r w:rsidRPr="00AD6E27">
              <w:rPr>
                <w:sz w:val="22"/>
              </w:rPr>
              <w:t>[0,0</w:t>
            </w:r>
            <w:r w:rsidR="00B55F32" w:rsidRPr="00AD6E27">
              <w:rPr>
                <w:sz w:val="22"/>
              </w:rPr>
              <w:t> </w:t>
            </w:r>
            <w:r w:rsidRPr="00AD6E27">
              <w:rPr>
                <w:sz w:val="22"/>
              </w:rPr>
              <w:t>%, 3,7</w:t>
            </w:r>
            <w:r w:rsidR="00B55F32" w:rsidRPr="00AD6E27">
              <w:rPr>
                <w:sz w:val="22"/>
              </w:rPr>
              <w:t> </w:t>
            </w:r>
            <w:r w:rsidRPr="00AD6E27">
              <w:rPr>
                <w:sz w:val="22"/>
              </w:rPr>
              <w:t>%]</w:t>
            </w:r>
          </w:p>
        </w:tc>
        <w:tc>
          <w:tcPr>
            <w:tcW w:w="2517" w:type="dxa"/>
          </w:tcPr>
          <w:p w14:paraId="32E11917" w14:textId="73196C21" w:rsidR="009C5AEA" w:rsidRPr="00AD6E27" w:rsidRDefault="00BE5FD3" w:rsidP="00DE78B3">
            <w:pPr>
              <w:pStyle w:val="Normal10pt0"/>
              <w:keepNext/>
              <w:jc w:val="center"/>
              <w:rPr>
                <w:sz w:val="22"/>
              </w:rPr>
            </w:pPr>
            <w:r>
              <w:rPr>
                <w:sz w:val="22"/>
              </w:rPr>
              <w:noBreakHyphen/>
            </w:r>
            <w:r w:rsidR="00F52356" w:rsidRPr="00AD6E27">
              <w:rPr>
                <w:sz w:val="22"/>
              </w:rPr>
              <w:t>3,1</w:t>
            </w:r>
            <w:r w:rsidR="00B55F32" w:rsidRPr="00AD6E27">
              <w:rPr>
                <w:sz w:val="22"/>
              </w:rPr>
              <w:t> </w:t>
            </w:r>
            <w:r w:rsidR="00F52356" w:rsidRPr="00AD6E27">
              <w:rPr>
                <w:sz w:val="22"/>
              </w:rPr>
              <w:t>%</w:t>
            </w:r>
          </w:p>
          <w:p w14:paraId="008C4A92" w14:textId="56B96660" w:rsidR="009C5AEA" w:rsidRPr="00AD6E27" w:rsidRDefault="00F52356" w:rsidP="00DE78B3">
            <w:pPr>
              <w:pStyle w:val="Normal10pt0"/>
              <w:keepNext/>
              <w:jc w:val="center"/>
              <w:rPr>
                <w:sz w:val="22"/>
              </w:rPr>
            </w:pPr>
            <w:r w:rsidRPr="00AD6E27">
              <w:rPr>
                <w:sz w:val="22"/>
              </w:rPr>
              <w:t>[</w:t>
            </w:r>
            <w:r w:rsidRPr="00AD6E27">
              <w:rPr>
                <w:sz w:val="22"/>
              </w:rPr>
              <w:noBreakHyphen/>
              <w:t>6,7</w:t>
            </w:r>
            <w:r w:rsidR="00B55F32" w:rsidRPr="00AD6E27">
              <w:rPr>
                <w:sz w:val="22"/>
              </w:rPr>
              <w:t> </w:t>
            </w:r>
            <w:r w:rsidRPr="00AD6E27">
              <w:rPr>
                <w:sz w:val="22"/>
              </w:rPr>
              <w:t>%, 0,4</w:t>
            </w:r>
            <w:r w:rsidR="00B55F32" w:rsidRPr="00AD6E27">
              <w:rPr>
                <w:sz w:val="22"/>
              </w:rPr>
              <w:t> </w:t>
            </w:r>
            <w:r w:rsidRPr="00AD6E27">
              <w:rPr>
                <w:sz w:val="22"/>
              </w:rPr>
              <w:t>%]</w:t>
            </w:r>
          </w:p>
        </w:tc>
      </w:tr>
    </w:tbl>
    <w:p w14:paraId="4F0BDC27" w14:textId="73F5B0D3" w:rsidR="009C5AEA" w:rsidRDefault="00F52356" w:rsidP="00DE78B3">
      <w:pPr>
        <w:pStyle w:val="Normal10pt0"/>
        <w:keepNext/>
        <w:ind w:left="284" w:hanging="284"/>
      </w:pPr>
      <w:proofErr w:type="gramStart"/>
      <w:r>
        <w:rPr>
          <w:rStyle w:val="Superscript"/>
        </w:rPr>
        <w:t>a</w:t>
      </w:r>
      <w:proofErr w:type="gramEnd"/>
      <w:r w:rsidR="00301276">
        <w:tab/>
      </w:r>
      <w:r>
        <w:t xml:space="preserve">La séroconversion se définit comme le pourcentage de sujets présentant une multiplication par au moins 4 des titres d’anticorps </w:t>
      </w:r>
      <w:proofErr w:type="spellStart"/>
      <w:r>
        <w:t>vibriocides</w:t>
      </w:r>
      <w:proofErr w:type="spellEnd"/>
      <w:r>
        <w:t xml:space="preserve"> 10 jours après la vaccination par rapport aux valeurs initiales.</w:t>
      </w:r>
    </w:p>
    <w:p w14:paraId="15099FD8" w14:textId="338D74B5" w:rsidR="009C5AEA" w:rsidRDefault="00F52356" w:rsidP="00DE78B3">
      <w:pPr>
        <w:pStyle w:val="Normal10pt0"/>
        <w:keepNext/>
        <w:ind w:left="284" w:hanging="284"/>
      </w:pPr>
      <w:proofErr w:type="gramStart"/>
      <w:r>
        <w:rPr>
          <w:rStyle w:val="Superscript"/>
        </w:rPr>
        <w:t>b</w:t>
      </w:r>
      <w:proofErr w:type="gramEnd"/>
      <w:r w:rsidR="00301276">
        <w:tab/>
      </w:r>
      <w:r>
        <w:t>N = nombre de sujets présentant des échantillons analysables au jour 1 et au jour 11.</w:t>
      </w:r>
    </w:p>
    <w:p w14:paraId="2D45F132" w14:textId="54C30684" w:rsidR="009C5AEA" w:rsidRDefault="00F52356" w:rsidP="00DE78B3">
      <w:pPr>
        <w:pStyle w:val="Normal10pt0"/>
        <w:keepNext/>
        <w:ind w:left="284" w:hanging="284"/>
      </w:pPr>
      <w:proofErr w:type="gramStart"/>
      <w:r>
        <w:rPr>
          <w:rStyle w:val="Superscript"/>
        </w:rPr>
        <w:t>c</w:t>
      </w:r>
      <w:proofErr w:type="gramEnd"/>
      <w:r w:rsidR="00301276">
        <w:tab/>
      </w:r>
      <w:r>
        <w:t>IC = intervalle de confiance.</w:t>
      </w:r>
    </w:p>
    <w:p w14:paraId="6F42C8D4" w14:textId="4E1DAED3" w:rsidR="009C5AEA" w:rsidRDefault="00F52356" w:rsidP="00DE78B3">
      <w:pPr>
        <w:pStyle w:val="Normal10pt0"/>
        <w:ind w:left="284" w:hanging="284"/>
      </w:pPr>
      <w:proofErr w:type="gramStart"/>
      <w:r>
        <w:rPr>
          <w:rStyle w:val="Superscript"/>
        </w:rPr>
        <w:t>d</w:t>
      </w:r>
      <w:proofErr w:type="gramEnd"/>
      <w:r w:rsidR="00301276">
        <w:tab/>
      </w:r>
      <w:r>
        <w:t>Critère de non-infériorité : la limite inférieure de l’intervalle de confiance bilatéral à 95</w:t>
      </w:r>
      <w:r w:rsidR="00B55F32">
        <w:t> </w:t>
      </w:r>
      <w:r>
        <w:t xml:space="preserve">% sur la différence de taux de séroconversion par rapport aux adultes âgés de 18 à moins de 46 ans devait être supérieure à </w:t>
      </w:r>
      <w:r w:rsidR="00BE5FD3">
        <w:noBreakHyphen/>
      </w:r>
      <w:r>
        <w:t>10</w:t>
      </w:r>
      <w:r w:rsidR="001408F7">
        <w:t> </w:t>
      </w:r>
      <w:r>
        <w:t>points de pourcentage et la limite inférieure de l’intervalle de confiance bilatéral à 95</w:t>
      </w:r>
      <w:r w:rsidR="00B55F32">
        <w:t> </w:t>
      </w:r>
      <w:r>
        <w:t>% sur la proportion de personnes vaccinées ayant obtenu une séroconversion 10 jours après administration devait être supérieure ou égale à 70</w:t>
      </w:r>
      <w:r w:rsidR="00B55F32">
        <w:t> </w:t>
      </w:r>
      <w:r>
        <w:t>%.</w:t>
      </w:r>
    </w:p>
    <w:p w14:paraId="701F59A9" w14:textId="77777777" w:rsidR="009C5AEA" w:rsidRDefault="009C5AEA" w:rsidP="00DE78B3"/>
    <w:p w14:paraId="7DBF90EB" w14:textId="63C8C3FE" w:rsidR="009C5AEA" w:rsidRDefault="00F52356" w:rsidP="00DE78B3">
      <w:r>
        <w:t xml:space="preserve">Les données disponibles sur les taux de séroconversion par rapport à d’autres biotypes et sérotypes de </w:t>
      </w:r>
      <w:r>
        <w:rPr>
          <w:rStyle w:val="Emphasis"/>
        </w:rPr>
        <w:t>V</w:t>
      </w:r>
      <w:r w:rsidR="00B55F32">
        <w:rPr>
          <w:rStyle w:val="Emphasis"/>
        </w:rPr>
        <w:t>ibrio</w:t>
      </w:r>
      <w:r>
        <w:t> </w:t>
      </w:r>
      <w:r>
        <w:rPr>
          <w:rStyle w:val="Emphasis"/>
        </w:rPr>
        <w:t>cholerae</w:t>
      </w:r>
      <w:r>
        <w:t xml:space="preserve"> sont présentées dans le tableau 3. Les taux de séroconversion pour ces biotypes et sérotypes n’ont pas été déterminés chez les enfants.</w:t>
      </w:r>
    </w:p>
    <w:p w14:paraId="39277032" w14:textId="77777777" w:rsidR="009C5AEA" w:rsidRDefault="009C5AEA" w:rsidP="00DE78B3"/>
    <w:p w14:paraId="39080C80" w14:textId="2813E455" w:rsidR="009C5AEA" w:rsidRDefault="00F52356" w:rsidP="00DE78B3">
      <w:pPr>
        <w:pStyle w:val="TableTitle"/>
        <w:ind w:left="0" w:firstLine="0"/>
        <w:outlineLvl w:val="9"/>
      </w:pPr>
      <w:r>
        <w:lastRenderedPageBreak/>
        <w:t xml:space="preserve">Tableau 3 : Taux de séroconversion 10 jours après la vaccination pour les quatre principaux biotypes et sérotypes de la bactérie </w:t>
      </w:r>
      <w:r>
        <w:rPr>
          <w:rStyle w:val="Emphasis"/>
        </w:rPr>
        <w:t>V</w:t>
      </w:r>
      <w:r w:rsidR="00B55F32">
        <w:rPr>
          <w:rStyle w:val="Emphasis"/>
        </w:rPr>
        <w:t>ibrio</w:t>
      </w:r>
      <w:r>
        <w:rPr>
          <w:rStyle w:val="Emphasis"/>
        </w:rPr>
        <w:t> cholerae</w:t>
      </w:r>
      <w:r>
        <w:t xml:space="preserve"> de sérogroupe O1 [Population évaluable en matière d’immunogénicité]</w:t>
      </w:r>
    </w:p>
    <w:p w14:paraId="04D45848" w14:textId="77777777" w:rsidR="009C5AEA" w:rsidRDefault="009C5AEA" w:rsidP="00DE78B3">
      <w:pPr>
        <w:keepNext/>
      </w:pPr>
    </w:p>
    <w:tbl>
      <w:tblPr>
        <w:tblW w:w="0" w:type="auto"/>
        <w:tblBorders>
          <w:top w:val="single" w:sz="12" w:space="0" w:color="auto"/>
          <w:left w:val="single" w:sz="12" w:space="0" w:color="auto"/>
          <w:bottom w:val="single" w:sz="12" w:space="0" w:color="auto"/>
          <w:right w:val="single" w:sz="12" w:space="0" w:color="auto"/>
        </w:tblBorders>
        <w:tblCellMar>
          <w:top w:w="85" w:type="dxa"/>
          <w:bottom w:w="85" w:type="dxa"/>
        </w:tblCellMar>
        <w:tblLook w:val="04A0" w:firstRow="1" w:lastRow="0" w:firstColumn="1" w:lastColumn="0" w:noHBand="0" w:noVBand="1"/>
      </w:tblPr>
      <w:tblGrid>
        <w:gridCol w:w="1830"/>
        <w:gridCol w:w="1789"/>
        <w:gridCol w:w="1821"/>
        <w:gridCol w:w="1796"/>
        <w:gridCol w:w="1821"/>
      </w:tblGrid>
      <w:tr w:rsidR="009C5AEA" w:rsidRPr="00B55F32" w14:paraId="4519C1B0" w14:textId="77777777">
        <w:tc>
          <w:tcPr>
            <w:tcW w:w="1860" w:type="dxa"/>
            <w:vMerge w:val="restart"/>
            <w:tcBorders>
              <w:top w:val="single" w:sz="12" w:space="0" w:color="auto"/>
              <w:bottom w:val="nil"/>
            </w:tcBorders>
            <w:vAlign w:val="bottom"/>
          </w:tcPr>
          <w:p w14:paraId="614B6419" w14:textId="77777777" w:rsidR="009C5AEA" w:rsidRPr="00B55F32" w:rsidRDefault="00F52356" w:rsidP="00DE78B3">
            <w:pPr>
              <w:pStyle w:val="Normal10pt0"/>
              <w:keepNext/>
              <w:rPr>
                <w:rStyle w:val="Strong"/>
                <w:sz w:val="22"/>
              </w:rPr>
            </w:pPr>
            <w:r w:rsidRPr="00AD6E27">
              <w:rPr>
                <w:rStyle w:val="Strong"/>
                <w:sz w:val="22"/>
              </w:rPr>
              <w:t>Souche de choléra</w:t>
            </w:r>
          </w:p>
        </w:tc>
        <w:tc>
          <w:tcPr>
            <w:tcW w:w="3721" w:type="dxa"/>
            <w:gridSpan w:val="2"/>
            <w:tcBorders>
              <w:top w:val="single" w:sz="12" w:space="0" w:color="auto"/>
              <w:bottom w:val="nil"/>
            </w:tcBorders>
          </w:tcPr>
          <w:p w14:paraId="244BF7CA" w14:textId="77777777" w:rsidR="009C5AEA" w:rsidRPr="00AD6E27" w:rsidRDefault="00F52356" w:rsidP="00DE78B3">
            <w:pPr>
              <w:pStyle w:val="Normal10pt0"/>
              <w:keepNext/>
              <w:jc w:val="center"/>
              <w:rPr>
                <w:rStyle w:val="Strong"/>
                <w:sz w:val="22"/>
              </w:rPr>
            </w:pPr>
            <w:r w:rsidRPr="00AD6E27">
              <w:rPr>
                <w:rStyle w:val="Strong"/>
                <w:sz w:val="22"/>
              </w:rPr>
              <w:t>Jeunes adultes</w:t>
            </w:r>
          </w:p>
          <w:p w14:paraId="116DB8A8" w14:textId="77777777" w:rsidR="009C5AEA" w:rsidRPr="00AD6E27" w:rsidRDefault="00F52356" w:rsidP="00DE78B3">
            <w:pPr>
              <w:pStyle w:val="Normal10pt0"/>
              <w:keepNext/>
              <w:jc w:val="center"/>
              <w:rPr>
                <w:rStyle w:val="Strong"/>
                <w:sz w:val="22"/>
              </w:rPr>
            </w:pPr>
            <w:r w:rsidRPr="00AD6E27">
              <w:rPr>
                <w:rStyle w:val="Strong"/>
                <w:sz w:val="22"/>
              </w:rPr>
              <w:t>(18 à 45 ans)</w:t>
            </w:r>
          </w:p>
          <w:p w14:paraId="3951C851" w14:textId="77777777" w:rsidR="009C5AEA" w:rsidRPr="00AD6E27" w:rsidRDefault="00F52356" w:rsidP="00DE78B3">
            <w:pPr>
              <w:pStyle w:val="Normal10pt0"/>
              <w:keepNext/>
              <w:jc w:val="center"/>
              <w:rPr>
                <w:rStyle w:val="Strong"/>
                <w:sz w:val="22"/>
              </w:rPr>
            </w:pPr>
            <w:r w:rsidRPr="00AD6E27">
              <w:rPr>
                <w:rStyle w:val="Strong"/>
                <w:sz w:val="22"/>
              </w:rPr>
              <w:t>Vaxchora</w:t>
            </w:r>
          </w:p>
        </w:tc>
        <w:tc>
          <w:tcPr>
            <w:tcW w:w="3722" w:type="dxa"/>
            <w:gridSpan w:val="2"/>
            <w:tcBorders>
              <w:top w:val="single" w:sz="12" w:space="0" w:color="auto"/>
              <w:bottom w:val="nil"/>
            </w:tcBorders>
          </w:tcPr>
          <w:p w14:paraId="117EA99D" w14:textId="77777777" w:rsidR="009C5AEA" w:rsidRPr="00AD6E27" w:rsidRDefault="00F52356" w:rsidP="00DE78B3">
            <w:pPr>
              <w:pStyle w:val="Normal10pt0"/>
              <w:keepNext/>
              <w:jc w:val="center"/>
              <w:rPr>
                <w:rStyle w:val="Strong"/>
                <w:sz w:val="22"/>
              </w:rPr>
            </w:pPr>
            <w:r w:rsidRPr="00AD6E27">
              <w:rPr>
                <w:rStyle w:val="Strong"/>
                <w:sz w:val="22"/>
              </w:rPr>
              <w:t>Adultes plus âgés</w:t>
            </w:r>
          </w:p>
          <w:p w14:paraId="433DABE0" w14:textId="77777777" w:rsidR="009C5AEA" w:rsidRPr="00AD6E27" w:rsidRDefault="00F52356" w:rsidP="00DE78B3">
            <w:pPr>
              <w:pStyle w:val="Normal10pt0"/>
              <w:keepNext/>
              <w:jc w:val="center"/>
              <w:rPr>
                <w:rStyle w:val="Strong"/>
                <w:sz w:val="22"/>
              </w:rPr>
            </w:pPr>
            <w:r w:rsidRPr="00AD6E27">
              <w:rPr>
                <w:rStyle w:val="Strong"/>
                <w:sz w:val="22"/>
              </w:rPr>
              <w:t>(46 à 64 ans)</w:t>
            </w:r>
          </w:p>
          <w:p w14:paraId="2FF780ED" w14:textId="77777777" w:rsidR="009C5AEA" w:rsidRPr="00AD6E27" w:rsidRDefault="00F52356" w:rsidP="00DE78B3">
            <w:pPr>
              <w:pStyle w:val="Normal10pt0"/>
              <w:keepNext/>
              <w:jc w:val="center"/>
              <w:rPr>
                <w:rStyle w:val="Strong"/>
                <w:sz w:val="22"/>
              </w:rPr>
            </w:pPr>
            <w:r w:rsidRPr="00AD6E27">
              <w:rPr>
                <w:rStyle w:val="Strong"/>
                <w:sz w:val="22"/>
              </w:rPr>
              <w:t>Vaxchora</w:t>
            </w:r>
          </w:p>
        </w:tc>
      </w:tr>
      <w:tr w:rsidR="009C5AEA" w:rsidRPr="00B55F32" w14:paraId="0E336E95" w14:textId="77777777">
        <w:tc>
          <w:tcPr>
            <w:tcW w:w="1860" w:type="dxa"/>
            <w:vMerge/>
            <w:tcBorders>
              <w:top w:val="nil"/>
              <w:bottom w:val="single" w:sz="12" w:space="0" w:color="auto"/>
            </w:tcBorders>
          </w:tcPr>
          <w:p w14:paraId="0828629E" w14:textId="77777777" w:rsidR="009C5AEA" w:rsidRPr="00AD6E27" w:rsidRDefault="009C5AEA" w:rsidP="00DE78B3">
            <w:pPr>
              <w:pStyle w:val="Normal10pt0"/>
              <w:keepNext/>
              <w:rPr>
                <w:sz w:val="22"/>
              </w:rPr>
            </w:pPr>
          </w:p>
        </w:tc>
        <w:tc>
          <w:tcPr>
            <w:tcW w:w="1860" w:type="dxa"/>
            <w:tcBorders>
              <w:top w:val="nil"/>
              <w:bottom w:val="single" w:sz="12" w:space="0" w:color="auto"/>
            </w:tcBorders>
            <w:vAlign w:val="center"/>
          </w:tcPr>
          <w:p w14:paraId="105C0D89" w14:textId="77777777" w:rsidR="009C5AEA" w:rsidRPr="00AD6E27" w:rsidRDefault="00F52356" w:rsidP="00DE78B3">
            <w:pPr>
              <w:pStyle w:val="Normal10pt0"/>
              <w:keepNext/>
              <w:jc w:val="center"/>
              <w:rPr>
                <w:sz w:val="22"/>
              </w:rPr>
            </w:pPr>
            <w:r w:rsidRPr="00AD6E27">
              <w:rPr>
                <w:sz w:val="22"/>
              </w:rPr>
              <w:t>N</w:t>
            </w:r>
            <w:r w:rsidRPr="00AD6E27">
              <w:rPr>
                <w:rStyle w:val="Superscript"/>
                <w:sz w:val="22"/>
              </w:rPr>
              <w:t>a</w:t>
            </w:r>
          </w:p>
        </w:tc>
        <w:tc>
          <w:tcPr>
            <w:tcW w:w="1861" w:type="dxa"/>
            <w:tcBorders>
              <w:top w:val="nil"/>
              <w:bottom w:val="single" w:sz="12" w:space="0" w:color="auto"/>
            </w:tcBorders>
          </w:tcPr>
          <w:p w14:paraId="367FF4D8" w14:textId="77777777" w:rsidR="009C5AEA" w:rsidRPr="00AD6E27" w:rsidRDefault="00F52356" w:rsidP="00DE78B3">
            <w:pPr>
              <w:pStyle w:val="Normal10pt0"/>
              <w:keepNext/>
              <w:jc w:val="center"/>
              <w:rPr>
                <w:rStyle w:val="Superscript"/>
                <w:sz w:val="22"/>
              </w:rPr>
            </w:pPr>
            <w:r w:rsidRPr="00AD6E27">
              <w:rPr>
                <w:sz w:val="22"/>
              </w:rPr>
              <w:t>%</w:t>
            </w:r>
            <w:r w:rsidRPr="00AD6E27">
              <w:rPr>
                <w:rStyle w:val="Superscript"/>
                <w:sz w:val="22"/>
              </w:rPr>
              <w:t>b</w:t>
            </w:r>
          </w:p>
          <w:p w14:paraId="65E0E586" w14:textId="62D9530C" w:rsidR="009C5AEA" w:rsidRPr="00AD6E27" w:rsidRDefault="00F52356" w:rsidP="00DE78B3">
            <w:pPr>
              <w:pStyle w:val="Normal10pt0"/>
              <w:keepNext/>
              <w:jc w:val="center"/>
              <w:rPr>
                <w:sz w:val="22"/>
              </w:rPr>
            </w:pPr>
            <w:r w:rsidRPr="00AD6E27">
              <w:rPr>
                <w:sz w:val="22"/>
              </w:rPr>
              <w:t>[IC à 95</w:t>
            </w:r>
            <w:r w:rsidR="00B55F32" w:rsidRPr="00AD6E27">
              <w:rPr>
                <w:sz w:val="22"/>
              </w:rPr>
              <w:t> </w:t>
            </w:r>
            <w:r w:rsidRPr="00AD6E27">
              <w:rPr>
                <w:sz w:val="22"/>
              </w:rPr>
              <w:t>%</w:t>
            </w:r>
            <w:r w:rsidRPr="00AD6E27">
              <w:rPr>
                <w:rStyle w:val="Superscript"/>
                <w:sz w:val="22"/>
              </w:rPr>
              <w:t>c</w:t>
            </w:r>
            <w:r w:rsidRPr="00AD6E27">
              <w:rPr>
                <w:sz w:val="22"/>
              </w:rPr>
              <w:t>]</w:t>
            </w:r>
          </w:p>
        </w:tc>
        <w:tc>
          <w:tcPr>
            <w:tcW w:w="1861" w:type="dxa"/>
            <w:tcBorders>
              <w:top w:val="nil"/>
              <w:bottom w:val="single" w:sz="12" w:space="0" w:color="auto"/>
            </w:tcBorders>
            <w:vAlign w:val="center"/>
          </w:tcPr>
          <w:p w14:paraId="7FD22476" w14:textId="77777777" w:rsidR="009C5AEA" w:rsidRPr="00AD6E27" w:rsidRDefault="00F52356" w:rsidP="00DE78B3">
            <w:pPr>
              <w:pStyle w:val="Normal10pt0"/>
              <w:keepNext/>
              <w:jc w:val="center"/>
              <w:rPr>
                <w:sz w:val="22"/>
              </w:rPr>
            </w:pPr>
            <w:r w:rsidRPr="00AD6E27">
              <w:rPr>
                <w:sz w:val="22"/>
              </w:rPr>
              <w:t>N</w:t>
            </w:r>
            <w:r w:rsidRPr="00AD6E27">
              <w:rPr>
                <w:rStyle w:val="Superscript"/>
                <w:sz w:val="22"/>
              </w:rPr>
              <w:t>a</w:t>
            </w:r>
          </w:p>
        </w:tc>
        <w:tc>
          <w:tcPr>
            <w:tcW w:w="1861" w:type="dxa"/>
            <w:tcBorders>
              <w:top w:val="nil"/>
              <w:bottom w:val="single" w:sz="12" w:space="0" w:color="auto"/>
            </w:tcBorders>
          </w:tcPr>
          <w:p w14:paraId="3BCDBA74" w14:textId="77777777" w:rsidR="009C5AEA" w:rsidRPr="00AD6E27" w:rsidRDefault="00F52356" w:rsidP="00DE78B3">
            <w:pPr>
              <w:pStyle w:val="Normal10pt0"/>
              <w:keepNext/>
              <w:jc w:val="center"/>
              <w:rPr>
                <w:sz w:val="22"/>
              </w:rPr>
            </w:pPr>
            <w:r w:rsidRPr="00AD6E27">
              <w:rPr>
                <w:sz w:val="22"/>
              </w:rPr>
              <w:t>%</w:t>
            </w:r>
          </w:p>
          <w:p w14:paraId="5E76CA15" w14:textId="6D1F0C3B" w:rsidR="009C5AEA" w:rsidRPr="00AD6E27" w:rsidRDefault="00F52356" w:rsidP="00DE78B3">
            <w:pPr>
              <w:pStyle w:val="Normal10pt0"/>
              <w:keepNext/>
              <w:jc w:val="center"/>
              <w:rPr>
                <w:sz w:val="22"/>
              </w:rPr>
            </w:pPr>
            <w:r w:rsidRPr="00AD6E27">
              <w:rPr>
                <w:sz w:val="22"/>
              </w:rPr>
              <w:t>[IC à 95</w:t>
            </w:r>
            <w:r w:rsidR="00B55F32" w:rsidRPr="00AD6E27">
              <w:rPr>
                <w:sz w:val="22"/>
              </w:rPr>
              <w:t> </w:t>
            </w:r>
            <w:r w:rsidRPr="00AD6E27">
              <w:rPr>
                <w:sz w:val="22"/>
              </w:rPr>
              <w:t>%]</w:t>
            </w:r>
          </w:p>
        </w:tc>
      </w:tr>
      <w:tr w:rsidR="009C5AEA" w:rsidRPr="00B55F32" w14:paraId="4F6FC7A9" w14:textId="77777777">
        <w:tc>
          <w:tcPr>
            <w:tcW w:w="1860" w:type="dxa"/>
            <w:tcBorders>
              <w:top w:val="single" w:sz="12" w:space="0" w:color="auto"/>
            </w:tcBorders>
            <w:vAlign w:val="center"/>
          </w:tcPr>
          <w:p w14:paraId="662613A2" w14:textId="77777777" w:rsidR="009C5AEA" w:rsidRPr="00AD6E27" w:rsidRDefault="00F52356" w:rsidP="00DE78B3">
            <w:pPr>
              <w:pStyle w:val="Normal10pt0"/>
              <w:keepNext/>
              <w:rPr>
                <w:sz w:val="22"/>
              </w:rPr>
            </w:pPr>
            <w:r w:rsidRPr="00AD6E27">
              <w:rPr>
                <w:sz w:val="22"/>
              </w:rPr>
              <w:t xml:space="preserve">Classique </w:t>
            </w:r>
            <w:proofErr w:type="spellStart"/>
            <w:r w:rsidRPr="00AD6E27">
              <w:rPr>
                <w:sz w:val="22"/>
              </w:rPr>
              <w:t>Inaba</w:t>
            </w:r>
            <w:r w:rsidRPr="00AD6E27">
              <w:rPr>
                <w:rStyle w:val="Superscript"/>
                <w:sz w:val="22"/>
              </w:rPr>
              <w:t>d</w:t>
            </w:r>
            <w:proofErr w:type="spellEnd"/>
          </w:p>
        </w:tc>
        <w:tc>
          <w:tcPr>
            <w:tcW w:w="1860" w:type="dxa"/>
            <w:tcBorders>
              <w:top w:val="single" w:sz="12" w:space="0" w:color="auto"/>
            </w:tcBorders>
            <w:vAlign w:val="center"/>
          </w:tcPr>
          <w:p w14:paraId="5DCC0EF5" w14:textId="77777777" w:rsidR="009C5AEA" w:rsidRPr="00AD6E27" w:rsidRDefault="00F52356" w:rsidP="00DE78B3">
            <w:pPr>
              <w:pStyle w:val="Normal10pt0"/>
              <w:keepNext/>
              <w:jc w:val="center"/>
              <w:rPr>
                <w:sz w:val="22"/>
              </w:rPr>
            </w:pPr>
            <w:r w:rsidRPr="00AD6E27">
              <w:rPr>
                <w:sz w:val="22"/>
              </w:rPr>
              <w:t>93</w:t>
            </w:r>
          </w:p>
        </w:tc>
        <w:tc>
          <w:tcPr>
            <w:tcW w:w="1861" w:type="dxa"/>
            <w:tcBorders>
              <w:top w:val="single" w:sz="12" w:space="0" w:color="auto"/>
            </w:tcBorders>
            <w:vAlign w:val="center"/>
          </w:tcPr>
          <w:p w14:paraId="7866B66D" w14:textId="3CE17BA2" w:rsidR="009C5AEA" w:rsidRPr="00AD6E27" w:rsidRDefault="00F52356" w:rsidP="00DE78B3">
            <w:pPr>
              <w:pStyle w:val="Normal10pt0"/>
              <w:keepNext/>
              <w:jc w:val="center"/>
              <w:rPr>
                <w:sz w:val="22"/>
              </w:rPr>
            </w:pPr>
            <w:r w:rsidRPr="00AD6E27">
              <w:rPr>
                <w:sz w:val="22"/>
              </w:rPr>
              <w:t>90,3</w:t>
            </w:r>
            <w:r w:rsidR="00B55F32" w:rsidRPr="00AD6E27">
              <w:rPr>
                <w:sz w:val="22"/>
              </w:rPr>
              <w:t> </w:t>
            </w:r>
            <w:r w:rsidRPr="00AD6E27">
              <w:rPr>
                <w:sz w:val="22"/>
              </w:rPr>
              <w:t>%</w:t>
            </w:r>
          </w:p>
          <w:p w14:paraId="1771633E" w14:textId="65D1E9CF" w:rsidR="009C5AEA" w:rsidRPr="00AD6E27" w:rsidRDefault="00F52356" w:rsidP="00DE78B3">
            <w:pPr>
              <w:pStyle w:val="Normal10pt0"/>
              <w:keepNext/>
              <w:jc w:val="center"/>
              <w:rPr>
                <w:sz w:val="22"/>
              </w:rPr>
            </w:pPr>
            <w:r w:rsidRPr="00AD6E27">
              <w:rPr>
                <w:sz w:val="22"/>
              </w:rPr>
              <w:t>[82,4</w:t>
            </w:r>
            <w:r w:rsidR="00B55F32" w:rsidRPr="00AD6E27">
              <w:rPr>
                <w:sz w:val="22"/>
              </w:rPr>
              <w:t> </w:t>
            </w:r>
            <w:r w:rsidRPr="00AD6E27">
              <w:rPr>
                <w:sz w:val="22"/>
              </w:rPr>
              <w:t>%, 95,5</w:t>
            </w:r>
            <w:r w:rsidR="00B55F32" w:rsidRPr="00AD6E27">
              <w:rPr>
                <w:sz w:val="22"/>
              </w:rPr>
              <w:t> </w:t>
            </w:r>
            <w:r w:rsidRPr="00AD6E27">
              <w:rPr>
                <w:sz w:val="22"/>
              </w:rPr>
              <w:t>%]</w:t>
            </w:r>
          </w:p>
        </w:tc>
        <w:tc>
          <w:tcPr>
            <w:tcW w:w="1861" w:type="dxa"/>
            <w:tcBorders>
              <w:top w:val="single" w:sz="12" w:space="0" w:color="auto"/>
            </w:tcBorders>
            <w:vAlign w:val="center"/>
          </w:tcPr>
          <w:p w14:paraId="73F90DDF" w14:textId="77777777" w:rsidR="009C5AEA" w:rsidRPr="00AD6E27" w:rsidRDefault="00F52356" w:rsidP="00DE78B3">
            <w:pPr>
              <w:pStyle w:val="Normal10pt0"/>
              <w:keepNext/>
              <w:jc w:val="center"/>
              <w:rPr>
                <w:sz w:val="22"/>
              </w:rPr>
            </w:pPr>
            <w:r w:rsidRPr="00AD6E27">
              <w:rPr>
                <w:sz w:val="22"/>
              </w:rPr>
              <w:t>291</w:t>
            </w:r>
          </w:p>
        </w:tc>
        <w:tc>
          <w:tcPr>
            <w:tcW w:w="1861" w:type="dxa"/>
            <w:tcBorders>
              <w:top w:val="single" w:sz="12" w:space="0" w:color="auto"/>
            </w:tcBorders>
            <w:vAlign w:val="center"/>
          </w:tcPr>
          <w:p w14:paraId="349627BD" w14:textId="2CB77B70" w:rsidR="009C5AEA" w:rsidRPr="00AD6E27" w:rsidRDefault="00F52356" w:rsidP="00DE78B3">
            <w:pPr>
              <w:pStyle w:val="Normal10pt0"/>
              <w:keepNext/>
              <w:jc w:val="center"/>
              <w:rPr>
                <w:sz w:val="22"/>
              </w:rPr>
            </w:pPr>
            <w:r w:rsidRPr="00AD6E27">
              <w:rPr>
                <w:sz w:val="22"/>
              </w:rPr>
              <w:t>90,4</w:t>
            </w:r>
            <w:r w:rsidR="00B55F32" w:rsidRPr="00AD6E27">
              <w:rPr>
                <w:sz w:val="22"/>
              </w:rPr>
              <w:t> </w:t>
            </w:r>
            <w:r w:rsidRPr="00AD6E27">
              <w:rPr>
                <w:sz w:val="22"/>
              </w:rPr>
              <w:t>%</w:t>
            </w:r>
          </w:p>
          <w:p w14:paraId="7F7F3DB8" w14:textId="10B1B7E6" w:rsidR="009C5AEA" w:rsidRPr="00AD6E27" w:rsidRDefault="00F52356" w:rsidP="00DE78B3">
            <w:pPr>
              <w:pStyle w:val="Normal10pt0"/>
              <w:keepNext/>
              <w:jc w:val="center"/>
              <w:rPr>
                <w:sz w:val="22"/>
              </w:rPr>
            </w:pPr>
            <w:r w:rsidRPr="00AD6E27">
              <w:rPr>
                <w:sz w:val="22"/>
              </w:rPr>
              <w:t>[86,4</w:t>
            </w:r>
            <w:r w:rsidR="00B55F32" w:rsidRPr="00AD6E27">
              <w:rPr>
                <w:sz w:val="22"/>
              </w:rPr>
              <w:t> </w:t>
            </w:r>
            <w:r w:rsidRPr="00AD6E27">
              <w:rPr>
                <w:sz w:val="22"/>
              </w:rPr>
              <w:t>%, 93,5</w:t>
            </w:r>
            <w:r w:rsidR="00B55F32" w:rsidRPr="00AD6E27">
              <w:rPr>
                <w:sz w:val="22"/>
              </w:rPr>
              <w:t> </w:t>
            </w:r>
            <w:r w:rsidRPr="00AD6E27">
              <w:rPr>
                <w:sz w:val="22"/>
              </w:rPr>
              <w:t>%]</w:t>
            </w:r>
          </w:p>
        </w:tc>
      </w:tr>
      <w:tr w:rsidR="009C5AEA" w:rsidRPr="00B55F32" w14:paraId="5B257C00" w14:textId="77777777">
        <w:tc>
          <w:tcPr>
            <w:tcW w:w="1860" w:type="dxa"/>
            <w:vAlign w:val="center"/>
          </w:tcPr>
          <w:p w14:paraId="0E4B7624" w14:textId="77777777" w:rsidR="009C5AEA" w:rsidRPr="00AD6E27" w:rsidRDefault="00F52356" w:rsidP="00DE78B3">
            <w:pPr>
              <w:pStyle w:val="Normal10pt0"/>
              <w:keepNext/>
              <w:rPr>
                <w:sz w:val="22"/>
              </w:rPr>
            </w:pPr>
            <w:proofErr w:type="spellStart"/>
            <w:r w:rsidRPr="00AD6E27">
              <w:rPr>
                <w:sz w:val="22"/>
              </w:rPr>
              <w:t>Inaba</w:t>
            </w:r>
            <w:proofErr w:type="spellEnd"/>
            <w:r w:rsidRPr="00AD6E27">
              <w:rPr>
                <w:sz w:val="22"/>
              </w:rPr>
              <w:t xml:space="preserve"> biotype El Tor</w:t>
            </w:r>
          </w:p>
        </w:tc>
        <w:tc>
          <w:tcPr>
            <w:tcW w:w="1860" w:type="dxa"/>
            <w:vAlign w:val="center"/>
          </w:tcPr>
          <w:p w14:paraId="7FFFEB16" w14:textId="77777777" w:rsidR="009C5AEA" w:rsidRPr="00AD6E27" w:rsidRDefault="00F52356" w:rsidP="00DE78B3">
            <w:pPr>
              <w:pStyle w:val="Normal10pt0"/>
              <w:keepNext/>
              <w:jc w:val="center"/>
              <w:rPr>
                <w:sz w:val="22"/>
              </w:rPr>
            </w:pPr>
            <w:r w:rsidRPr="00AD6E27">
              <w:rPr>
                <w:sz w:val="22"/>
              </w:rPr>
              <w:t>93</w:t>
            </w:r>
          </w:p>
        </w:tc>
        <w:tc>
          <w:tcPr>
            <w:tcW w:w="1861" w:type="dxa"/>
            <w:vAlign w:val="center"/>
          </w:tcPr>
          <w:p w14:paraId="17EAAB0C" w14:textId="5458B3DF" w:rsidR="009C5AEA" w:rsidRPr="00AD6E27" w:rsidRDefault="00F52356" w:rsidP="00DE78B3">
            <w:pPr>
              <w:pStyle w:val="Normal10pt0"/>
              <w:keepNext/>
              <w:jc w:val="center"/>
              <w:rPr>
                <w:sz w:val="22"/>
              </w:rPr>
            </w:pPr>
            <w:r w:rsidRPr="00AD6E27">
              <w:rPr>
                <w:sz w:val="22"/>
              </w:rPr>
              <w:t>91,4</w:t>
            </w:r>
            <w:r w:rsidR="00B55F32" w:rsidRPr="00AD6E27">
              <w:rPr>
                <w:sz w:val="22"/>
              </w:rPr>
              <w:t> </w:t>
            </w:r>
            <w:r w:rsidRPr="00AD6E27">
              <w:rPr>
                <w:sz w:val="22"/>
              </w:rPr>
              <w:t>%</w:t>
            </w:r>
          </w:p>
          <w:p w14:paraId="20B0AF2C" w14:textId="71738E9A" w:rsidR="009C5AEA" w:rsidRPr="00AD6E27" w:rsidRDefault="00F52356" w:rsidP="00DE78B3">
            <w:pPr>
              <w:pStyle w:val="Normal10pt0"/>
              <w:keepNext/>
              <w:jc w:val="center"/>
              <w:rPr>
                <w:sz w:val="22"/>
              </w:rPr>
            </w:pPr>
            <w:r w:rsidRPr="00AD6E27">
              <w:rPr>
                <w:sz w:val="22"/>
              </w:rPr>
              <w:t>[83,8</w:t>
            </w:r>
            <w:r w:rsidR="00B55F32" w:rsidRPr="00AD6E27">
              <w:rPr>
                <w:sz w:val="22"/>
              </w:rPr>
              <w:t> </w:t>
            </w:r>
            <w:r w:rsidRPr="00AD6E27">
              <w:rPr>
                <w:sz w:val="22"/>
              </w:rPr>
              <w:t>%, 96,2</w:t>
            </w:r>
            <w:r w:rsidR="00B55F32" w:rsidRPr="00AD6E27">
              <w:rPr>
                <w:sz w:val="22"/>
              </w:rPr>
              <w:t> </w:t>
            </w:r>
            <w:r w:rsidRPr="00AD6E27">
              <w:rPr>
                <w:sz w:val="22"/>
              </w:rPr>
              <w:t>%]</w:t>
            </w:r>
          </w:p>
        </w:tc>
        <w:tc>
          <w:tcPr>
            <w:tcW w:w="1861" w:type="dxa"/>
            <w:vAlign w:val="center"/>
          </w:tcPr>
          <w:p w14:paraId="353CED39" w14:textId="77777777" w:rsidR="009C5AEA" w:rsidRPr="00AD6E27" w:rsidRDefault="00F52356" w:rsidP="00DE78B3">
            <w:pPr>
              <w:pStyle w:val="Normal10pt0"/>
              <w:keepNext/>
              <w:jc w:val="center"/>
              <w:rPr>
                <w:sz w:val="22"/>
              </w:rPr>
            </w:pPr>
            <w:r w:rsidRPr="00AD6E27">
              <w:rPr>
                <w:sz w:val="22"/>
              </w:rPr>
              <w:t>290</w:t>
            </w:r>
          </w:p>
        </w:tc>
        <w:tc>
          <w:tcPr>
            <w:tcW w:w="1861" w:type="dxa"/>
            <w:vAlign w:val="center"/>
          </w:tcPr>
          <w:p w14:paraId="7D656D0F" w14:textId="0CA1326A" w:rsidR="009C5AEA" w:rsidRPr="00AD6E27" w:rsidRDefault="00F52356" w:rsidP="00DE78B3">
            <w:pPr>
              <w:pStyle w:val="Normal10pt0"/>
              <w:keepNext/>
              <w:jc w:val="center"/>
              <w:rPr>
                <w:sz w:val="22"/>
              </w:rPr>
            </w:pPr>
            <w:r w:rsidRPr="00AD6E27">
              <w:rPr>
                <w:sz w:val="22"/>
              </w:rPr>
              <w:t>91,0</w:t>
            </w:r>
            <w:r w:rsidR="00B55F32" w:rsidRPr="00AD6E27">
              <w:rPr>
                <w:sz w:val="22"/>
              </w:rPr>
              <w:t> </w:t>
            </w:r>
            <w:r w:rsidRPr="00AD6E27">
              <w:rPr>
                <w:sz w:val="22"/>
              </w:rPr>
              <w:t>%</w:t>
            </w:r>
          </w:p>
          <w:p w14:paraId="3715D1FC" w14:textId="5E44E355" w:rsidR="009C5AEA" w:rsidRPr="00AD6E27" w:rsidRDefault="00F52356" w:rsidP="00DE78B3">
            <w:pPr>
              <w:pStyle w:val="Normal10pt0"/>
              <w:keepNext/>
              <w:jc w:val="center"/>
              <w:rPr>
                <w:sz w:val="22"/>
              </w:rPr>
            </w:pPr>
            <w:r w:rsidRPr="00AD6E27">
              <w:rPr>
                <w:sz w:val="22"/>
              </w:rPr>
              <w:t>[87,1</w:t>
            </w:r>
            <w:r w:rsidR="00B55F32" w:rsidRPr="00AD6E27">
              <w:rPr>
                <w:sz w:val="22"/>
              </w:rPr>
              <w:t> </w:t>
            </w:r>
            <w:r w:rsidRPr="00AD6E27">
              <w:rPr>
                <w:sz w:val="22"/>
              </w:rPr>
              <w:t>%, 94,1</w:t>
            </w:r>
            <w:r w:rsidR="00B55F32" w:rsidRPr="00AD6E27">
              <w:rPr>
                <w:sz w:val="22"/>
              </w:rPr>
              <w:t> </w:t>
            </w:r>
            <w:r w:rsidRPr="00AD6E27">
              <w:rPr>
                <w:sz w:val="22"/>
              </w:rPr>
              <w:t>%]</w:t>
            </w:r>
          </w:p>
        </w:tc>
      </w:tr>
      <w:tr w:rsidR="009C5AEA" w:rsidRPr="00B55F32" w14:paraId="1DB5CF49" w14:textId="77777777">
        <w:tc>
          <w:tcPr>
            <w:tcW w:w="1860" w:type="dxa"/>
            <w:vAlign w:val="center"/>
          </w:tcPr>
          <w:p w14:paraId="4812E278" w14:textId="77777777" w:rsidR="009C5AEA" w:rsidRPr="00AD6E27" w:rsidRDefault="00F52356" w:rsidP="00DE78B3">
            <w:pPr>
              <w:pStyle w:val="Normal10pt0"/>
              <w:keepNext/>
              <w:rPr>
                <w:sz w:val="22"/>
              </w:rPr>
            </w:pPr>
            <w:r w:rsidRPr="00AD6E27">
              <w:rPr>
                <w:sz w:val="22"/>
              </w:rPr>
              <w:t>Classique Ogawa</w:t>
            </w:r>
          </w:p>
        </w:tc>
        <w:tc>
          <w:tcPr>
            <w:tcW w:w="1860" w:type="dxa"/>
            <w:vAlign w:val="center"/>
          </w:tcPr>
          <w:p w14:paraId="1786E09A" w14:textId="77777777" w:rsidR="009C5AEA" w:rsidRPr="00AD6E27" w:rsidRDefault="00F52356" w:rsidP="00DE78B3">
            <w:pPr>
              <w:pStyle w:val="Normal10pt0"/>
              <w:keepNext/>
              <w:jc w:val="center"/>
              <w:rPr>
                <w:sz w:val="22"/>
              </w:rPr>
            </w:pPr>
            <w:r w:rsidRPr="00AD6E27">
              <w:rPr>
                <w:sz w:val="22"/>
              </w:rPr>
              <w:t>93</w:t>
            </w:r>
          </w:p>
        </w:tc>
        <w:tc>
          <w:tcPr>
            <w:tcW w:w="1861" w:type="dxa"/>
            <w:vAlign w:val="center"/>
          </w:tcPr>
          <w:p w14:paraId="2C63209B" w14:textId="3B52F912" w:rsidR="009C5AEA" w:rsidRPr="00AD6E27" w:rsidRDefault="00F52356" w:rsidP="00DE78B3">
            <w:pPr>
              <w:pStyle w:val="Normal10pt0"/>
              <w:keepNext/>
              <w:jc w:val="center"/>
              <w:rPr>
                <w:sz w:val="22"/>
              </w:rPr>
            </w:pPr>
            <w:r w:rsidRPr="00AD6E27">
              <w:rPr>
                <w:sz w:val="22"/>
              </w:rPr>
              <w:t>87,1</w:t>
            </w:r>
            <w:r w:rsidR="00B55F32" w:rsidRPr="00AD6E27">
              <w:rPr>
                <w:sz w:val="22"/>
              </w:rPr>
              <w:t> </w:t>
            </w:r>
            <w:r w:rsidRPr="00AD6E27">
              <w:rPr>
                <w:sz w:val="22"/>
              </w:rPr>
              <w:t>%</w:t>
            </w:r>
          </w:p>
          <w:p w14:paraId="71E697AC" w14:textId="488E82F0" w:rsidR="009C5AEA" w:rsidRPr="00AD6E27" w:rsidRDefault="00F52356" w:rsidP="00DE78B3">
            <w:pPr>
              <w:pStyle w:val="Normal10pt0"/>
              <w:keepNext/>
              <w:jc w:val="center"/>
              <w:rPr>
                <w:sz w:val="22"/>
              </w:rPr>
            </w:pPr>
            <w:r w:rsidRPr="00AD6E27">
              <w:rPr>
                <w:sz w:val="22"/>
              </w:rPr>
              <w:t>[78,5</w:t>
            </w:r>
            <w:r w:rsidR="00B55F32" w:rsidRPr="00AD6E27">
              <w:rPr>
                <w:sz w:val="22"/>
              </w:rPr>
              <w:t> </w:t>
            </w:r>
            <w:r w:rsidRPr="00AD6E27">
              <w:rPr>
                <w:sz w:val="22"/>
              </w:rPr>
              <w:t>%, 93,2</w:t>
            </w:r>
            <w:r w:rsidR="00B55F32" w:rsidRPr="00AD6E27">
              <w:rPr>
                <w:sz w:val="22"/>
              </w:rPr>
              <w:t> </w:t>
            </w:r>
            <w:r w:rsidRPr="00AD6E27">
              <w:rPr>
                <w:sz w:val="22"/>
              </w:rPr>
              <w:t>%]</w:t>
            </w:r>
          </w:p>
        </w:tc>
        <w:tc>
          <w:tcPr>
            <w:tcW w:w="1861" w:type="dxa"/>
            <w:vAlign w:val="center"/>
          </w:tcPr>
          <w:p w14:paraId="3655989F" w14:textId="77777777" w:rsidR="009C5AEA" w:rsidRPr="00AD6E27" w:rsidRDefault="00F52356" w:rsidP="00DE78B3">
            <w:pPr>
              <w:pStyle w:val="Normal10pt0"/>
              <w:keepNext/>
              <w:jc w:val="center"/>
              <w:rPr>
                <w:sz w:val="22"/>
              </w:rPr>
            </w:pPr>
            <w:r w:rsidRPr="00AD6E27">
              <w:rPr>
                <w:sz w:val="22"/>
              </w:rPr>
              <w:t>291</w:t>
            </w:r>
          </w:p>
        </w:tc>
        <w:tc>
          <w:tcPr>
            <w:tcW w:w="1861" w:type="dxa"/>
            <w:vAlign w:val="center"/>
          </w:tcPr>
          <w:p w14:paraId="0CCCDE69" w14:textId="6E489D6A" w:rsidR="009C5AEA" w:rsidRPr="00AD6E27" w:rsidRDefault="00F52356" w:rsidP="00DE78B3">
            <w:pPr>
              <w:pStyle w:val="Normal10pt0"/>
              <w:keepNext/>
              <w:jc w:val="center"/>
              <w:rPr>
                <w:sz w:val="22"/>
              </w:rPr>
            </w:pPr>
            <w:r w:rsidRPr="00AD6E27">
              <w:rPr>
                <w:sz w:val="22"/>
              </w:rPr>
              <w:t>73,2</w:t>
            </w:r>
            <w:r w:rsidR="00B55F32" w:rsidRPr="00AD6E27">
              <w:rPr>
                <w:sz w:val="22"/>
              </w:rPr>
              <w:t> </w:t>
            </w:r>
            <w:r w:rsidRPr="00AD6E27">
              <w:rPr>
                <w:sz w:val="22"/>
              </w:rPr>
              <w:t>%</w:t>
            </w:r>
          </w:p>
          <w:p w14:paraId="2A7D2309" w14:textId="4AF76811" w:rsidR="009C5AEA" w:rsidRPr="00AD6E27" w:rsidRDefault="00F52356" w:rsidP="00DE78B3">
            <w:pPr>
              <w:pStyle w:val="Normal10pt0"/>
              <w:keepNext/>
              <w:jc w:val="center"/>
              <w:rPr>
                <w:sz w:val="22"/>
              </w:rPr>
            </w:pPr>
            <w:r w:rsidRPr="00AD6E27">
              <w:rPr>
                <w:sz w:val="22"/>
              </w:rPr>
              <w:t>[67,7</w:t>
            </w:r>
            <w:r w:rsidR="00B55F32" w:rsidRPr="00AD6E27">
              <w:rPr>
                <w:sz w:val="22"/>
              </w:rPr>
              <w:t> </w:t>
            </w:r>
            <w:r w:rsidRPr="00AD6E27">
              <w:rPr>
                <w:sz w:val="22"/>
              </w:rPr>
              <w:t>%, 78,2</w:t>
            </w:r>
            <w:r w:rsidR="00B55F32" w:rsidRPr="00AD6E27">
              <w:rPr>
                <w:sz w:val="22"/>
              </w:rPr>
              <w:t> </w:t>
            </w:r>
            <w:r w:rsidRPr="00AD6E27">
              <w:rPr>
                <w:sz w:val="22"/>
              </w:rPr>
              <w:t>%]</w:t>
            </w:r>
          </w:p>
        </w:tc>
      </w:tr>
      <w:tr w:rsidR="009C5AEA" w:rsidRPr="00B55F32" w14:paraId="5E11D305" w14:textId="77777777">
        <w:tc>
          <w:tcPr>
            <w:tcW w:w="1860" w:type="dxa"/>
            <w:vAlign w:val="center"/>
          </w:tcPr>
          <w:p w14:paraId="62DDF424" w14:textId="77777777" w:rsidR="009C5AEA" w:rsidRPr="00AD6E27" w:rsidRDefault="00F52356" w:rsidP="00DE78B3">
            <w:pPr>
              <w:pStyle w:val="Normal10pt0"/>
              <w:keepNext/>
              <w:rPr>
                <w:sz w:val="22"/>
              </w:rPr>
            </w:pPr>
            <w:r w:rsidRPr="00AD6E27">
              <w:rPr>
                <w:sz w:val="22"/>
              </w:rPr>
              <w:t>Ogawa biotype El Tor</w:t>
            </w:r>
          </w:p>
        </w:tc>
        <w:tc>
          <w:tcPr>
            <w:tcW w:w="1860" w:type="dxa"/>
            <w:vAlign w:val="center"/>
          </w:tcPr>
          <w:p w14:paraId="77EBF3FF" w14:textId="77777777" w:rsidR="009C5AEA" w:rsidRPr="00AD6E27" w:rsidRDefault="00F52356" w:rsidP="00DE78B3">
            <w:pPr>
              <w:pStyle w:val="Normal10pt0"/>
              <w:keepNext/>
              <w:jc w:val="center"/>
              <w:rPr>
                <w:sz w:val="22"/>
              </w:rPr>
            </w:pPr>
            <w:r w:rsidRPr="00AD6E27">
              <w:rPr>
                <w:sz w:val="22"/>
              </w:rPr>
              <w:t>93</w:t>
            </w:r>
          </w:p>
        </w:tc>
        <w:tc>
          <w:tcPr>
            <w:tcW w:w="1861" w:type="dxa"/>
            <w:vAlign w:val="center"/>
          </w:tcPr>
          <w:p w14:paraId="31FC858F" w14:textId="2CB053B6" w:rsidR="009C5AEA" w:rsidRPr="00AD6E27" w:rsidRDefault="00F52356" w:rsidP="00DE78B3">
            <w:pPr>
              <w:pStyle w:val="Normal10pt0"/>
              <w:keepNext/>
              <w:jc w:val="center"/>
              <w:rPr>
                <w:sz w:val="22"/>
              </w:rPr>
            </w:pPr>
            <w:r w:rsidRPr="00AD6E27">
              <w:rPr>
                <w:sz w:val="22"/>
              </w:rPr>
              <w:t>89,2</w:t>
            </w:r>
            <w:r w:rsidR="00B55F32" w:rsidRPr="00AD6E27">
              <w:rPr>
                <w:sz w:val="22"/>
              </w:rPr>
              <w:t> </w:t>
            </w:r>
            <w:r w:rsidRPr="00AD6E27">
              <w:rPr>
                <w:sz w:val="22"/>
              </w:rPr>
              <w:t>%</w:t>
            </w:r>
          </w:p>
          <w:p w14:paraId="3F9C859B" w14:textId="0375EB37" w:rsidR="009C5AEA" w:rsidRPr="00AD6E27" w:rsidRDefault="00F52356" w:rsidP="00DE78B3">
            <w:pPr>
              <w:pStyle w:val="Normal10pt0"/>
              <w:keepNext/>
              <w:jc w:val="center"/>
              <w:rPr>
                <w:sz w:val="22"/>
              </w:rPr>
            </w:pPr>
            <w:r w:rsidRPr="00AD6E27">
              <w:rPr>
                <w:sz w:val="22"/>
              </w:rPr>
              <w:t>[81,1</w:t>
            </w:r>
            <w:r w:rsidR="00B55F32" w:rsidRPr="00AD6E27">
              <w:rPr>
                <w:sz w:val="22"/>
              </w:rPr>
              <w:t> </w:t>
            </w:r>
            <w:r w:rsidRPr="00AD6E27">
              <w:rPr>
                <w:sz w:val="22"/>
              </w:rPr>
              <w:t>%, 94,7</w:t>
            </w:r>
            <w:r w:rsidR="00B55F32" w:rsidRPr="00AD6E27">
              <w:rPr>
                <w:sz w:val="22"/>
              </w:rPr>
              <w:t> </w:t>
            </w:r>
            <w:r w:rsidRPr="00AD6E27">
              <w:rPr>
                <w:sz w:val="22"/>
              </w:rPr>
              <w:t>%]</w:t>
            </w:r>
          </w:p>
        </w:tc>
        <w:tc>
          <w:tcPr>
            <w:tcW w:w="1861" w:type="dxa"/>
            <w:vAlign w:val="center"/>
          </w:tcPr>
          <w:p w14:paraId="72BE7029" w14:textId="77777777" w:rsidR="009C5AEA" w:rsidRPr="00AD6E27" w:rsidRDefault="00F52356" w:rsidP="00DE78B3">
            <w:pPr>
              <w:pStyle w:val="Normal10pt0"/>
              <w:keepNext/>
              <w:jc w:val="center"/>
              <w:rPr>
                <w:sz w:val="22"/>
              </w:rPr>
            </w:pPr>
            <w:r w:rsidRPr="00AD6E27">
              <w:rPr>
                <w:sz w:val="22"/>
              </w:rPr>
              <w:t>290</w:t>
            </w:r>
          </w:p>
        </w:tc>
        <w:tc>
          <w:tcPr>
            <w:tcW w:w="1861" w:type="dxa"/>
            <w:vAlign w:val="center"/>
          </w:tcPr>
          <w:p w14:paraId="0EE1C178" w14:textId="3E01D765" w:rsidR="009C5AEA" w:rsidRPr="00AD6E27" w:rsidRDefault="00F52356" w:rsidP="00DE78B3">
            <w:pPr>
              <w:pStyle w:val="Normal10pt0"/>
              <w:keepNext/>
              <w:jc w:val="center"/>
              <w:rPr>
                <w:sz w:val="22"/>
              </w:rPr>
            </w:pPr>
            <w:r w:rsidRPr="00AD6E27">
              <w:rPr>
                <w:sz w:val="22"/>
              </w:rPr>
              <w:t>71,4</w:t>
            </w:r>
            <w:r w:rsidR="00B55F32" w:rsidRPr="00AD6E27">
              <w:rPr>
                <w:sz w:val="22"/>
              </w:rPr>
              <w:t> </w:t>
            </w:r>
            <w:r w:rsidRPr="00AD6E27">
              <w:rPr>
                <w:sz w:val="22"/>
              </w:rPr>
              <w:t>%</w:t>
            </w:r>
          </w:p>
          <w:p w14:paraId="05C7D3B7" w14:textId="72D47FC9" w:rsidR="009C5AEA" w:rsidRPr="00AD6E27" w:rsidRDefault="00F52356" w:rsidP="00DE78B3">
            <w:pPr>
              <w:pStyle w:val="Normal10pt0"/>
              <w:keepNext/>
              <w:jc w:val="center"/>
              <w:rPr>
                <w:sz w:val="22"/>
              </w:rPr>
            </w:pPr>
            <w:r w:rsidRPr="00AD6E27">
              <w:rPr>
                <w:sz w:val="22"/>
              </w:rPr>
              <w:t>[65,8</w:t>
            </w:r>
            <w:r w:rsidR="00B55F32" w:rsidRPr="00AD6E27">
              <w:rPr>
                <w:sz w:val="22"/>
              </w:rPr>
              <w:t> </w:t>
            </w:r>
            <w:r w:rsidRPr="00AD6E27">
              <w:rPr>
                <w:sz w:val="22"/>
              </w:rPr>
              <w:t>%, 76,5</w:t>
            </w:r>
            <w:r w:rsidR="00B55F32" w:rsidRPr="00AD6E27">
              <w:rPr>
                <w:sz w:val="22"/>
              </w:rPr>
              <w:t> </w:t>
            </w:r>
            <w:r w:rsidRPr="00AD6E27">
              <w:rPr>
                <w:sz w:val="22"/>
              </w:rPr>
              <w:t>%]</w:t>
            </w:r>
          </w:p>
        </w:tc>
      </w:tr>
    </w:tbl>
    <w:p w14:paraId="6CD941DA" w14:textId="4F909AE5" w:rsidR="009C5AEA" w:rsidRDefault="00F52356" w:rsidP="00DE78B3">
      <w:pPr>
        <w:pStyle w:val="Normal10pt0"/>
        <w:keepNext/>
        <w:ind w:left="284" w:hanging="284"/>
      </w:pPr>
      <w:proofErr w:type="spellStart"/>
      <w:proofErr w:type="gramStart"/>
      <w:r>
        <w:rPr>
          <w:rStyle w:val="Superscript"/>
        </w:rPr>
        <w:t>a</w:t>
      </w:r>
      <w:proofErr w:type="spellEnd"/>
      <w:proofErr w:type="gramEnd"/>
      <w:r w:rsidR="00301276">
        <w:tab/>
      </w:r>
      <w:r>
        <w:t>N = nombre de sujets dont les mesures ont été effectuées à la visite initiale et 10 jours après la vaccination. Un sujet de l’étude portant sur les jeunes adultes n’a pas fait l’objet de la mesure au jour 11 et a été retiré de l’analyse.</w:t>
      </w:r>
    </w:p>
    <w:p w14:paraId="65C03CA2" w14:textId="7993111D" w:rsidR="009C5AEA" w:rsidRDefault="00F52356" w:rsidP="00DE78B3">
      <w:pPr>
        <w:pStyle w:val="Normal10pt0"/>
        <w:keepNext/>
        <w:ind w:left="284" w:hanging="284"/>
      </w:pPr>
      <w:proofErr w:type="gramStart"/>
      <w:r>
        <w:rPr>
          <w:rStyle w:val="Superscript"/>
        </w:rPr>
        <w:t>b</w:t>
      </w:r>
      <w:proofErr w:type="gramEnd"/>
      <w:r w:rsidR="00301276">
        <w:tab/>
      </w:r>
      <w:r>
        <w:t xml:space="preserve">La séroconversion se définit comme le pourcentage de sujets présentant une multiplication par au moins 4 des titres d’anticorps </w:t>
      </w:r>
      <w:proofErr w:type="spellStart"/>
      <w:r>
        <w:t>vibriocides</w:t>
      </w:r>
      <w:proofErr w:type="spellEnd"/>
      <w:r>
        <w:t xml:space="preserve"> 10 jours après la vaccination par rapport aux valeurs initiales.</w:t>
      </w:r>
    </w:p>
    <w:p w14:paraId="1AE2F72F" w14:textId="1A048225" w:rsidR="009C5AEA" w:rsidRDefault="00F52356" w:rsidP="00DE78B3">
      <w:pPr>
        <w:pStyle w:val="Normal10pt0"/>
        <w:keepNext/>
        <w:ind w:left="284" w:hanging="284"/>
      </w:pPr>
      <w:proofErr w:type="gramStart"/>
      <w:r>
        <w:rPr>
          <w:rStyle w:val="Superscript"/>
        </w:rPr>
        <w:t>c</w:t>
      </w:r>
      <w:proofErr w:type="gramEnd"/>
      <w:r w:rsidR="00301276">
        <w:tab/>
      </w:r>
      <w:r>
        <w:t>IC = intervalle de confiance.</w:t>
      </w:r>
    </w:p>
    <w:p w14:paraId="103181DF" w14:textId="1E2B4A6D" w:rsidR="009C5AEA" w:rsidRDefault="00F52356" w:rsidP="00DE78B3">
      <w:pPr>
        <w:pStyle w:val="Normal10pt0"/>
        <w:ind w:left="284" w:hanging="284"/>
      </w:pPr>
      <w:proofErr w:type="gramStart"/>
      <w:r>
        <w:rPr>
          <w:rStyle w:val="Superscript"/>
        </w:rPr>
        <w:t>d</w:t>
      </w:r>
      <w:proofErr w:type="gramEnd"/>
      <w:r w:rsidR="00301276">
        <w:tab/>
      </w:r>
      <w:r>
        <w:t xml:space="preserve">Vaxchora contient la souche </w:t>
      </w:r>
      <w:proofErr w:type="spellStart"/>
      <w:r>
        <w:t>Inaba</w:t>
      </w:r>
      <w:proofErr w:type="spellEnd"/>
      <w:r>
        <w:t xml:space="preserve"> classique de </w:t>
      </w:r>
      <w:r>
        <w:rPr>
          <w:rStyle w:val="Emphasis"/>
        </w:rPr>
        <w:t>V</w:t>
      </w:r>
      <w:r w:rsidR="00316676">
        <w:rPr>
          <w:rStyle w:val="Emphasis"/>
        </w:rPr>
        <w:t>ibrio</w:t>
      </w:r>
      <w:r>
        <w:t> </w:t>
      </w:r>
      <w:r>
        <w:rPr>
          <w:rStyle w:val="Emphasis"/>
        </w:rPr>
        <w:t>cholerae</w:t>
      </w:r>
      <w:r>
        <w:t xml:space="preserve"> de sérogroupe O1.</w:t>
      </w:r>
    </w:p>
    <w:p w14:paraId="5524FF72" w14:textId="77777777" w:rsidR="009C5AEA" w:rsidRDefault="009C5AEA" w:rsidP="00DE78B3"/>
    <w:p w14:paraId="076889DD" w14:textId="77777777" w:rsidR="009C5AEA" w:rsidRDefault="00F52356" w:rsidP="00DE78B3">
      <w:pPr>
        <w:pStyle w:val="HeadingUnderlined"/>
      </w:pPr>
      <w:r>
        <w:t>Population pédiatrique</w:t>
      </w:r>
    </w:p>
    <w:p w14:paraId="507DA7C5" w14:textId="2270E878" w:rsidR="009C5AEA" w:rsidRDefault="00F52356" w:rsidP="00DE78B3">
      <w:r>
        <w:t xml:space="preserve">Un essai d’immunogénicité a été réalisé chez </w:t>
      </w:r>
      <w:r w:rsidR="00301276">
        <w:t>550</w:t>
      </w:r>
      <w:r w:rsidR="00316676">
        <w:t> </w:t>
      </w:r>
      <w:r>
        <w:t xml:space="preserve">enfants en bonne santé âgés de </w:t>
      </w:r>
      <w:r w:rsidR="00301276">
        <w:t>2</w:t>
      </w:r>
      <w:r w:rsidR="00316676">
        <w:t> </w:t>
      </w:r>
      <w:r w:rsidR="00103D1D">
        <w:t>ans</w:t>
      </w:r>
      <w:r>
        <w:t xml:space="preserve"> à moins de 18 ans (âge moyen : </w:t>
      </w:r>
      <w:r w:rsidR="00301276">
        <w:t>9,0</w:t>
      </w:r>
      <w:r>
        <w:t xml:space="preserve"> ans, plage : </w:t>
      </w:r>
      <w:r w:rsidR="00301276">
        <w:t>2</w:t>
      </w:r>
      <w:r>
        <w:noBreakHyphen/>
        <w:t xml:space="preserve">17 ans, </w:t>
      </w:r>
      <w:r w:rsidR="00301276">
        <w:t>52,0</w:t>
      </w:r>
      <w:r w:rsidR="00316676">
        <w:t> </w:t>
      </w:r>
      <w:r>
        <w:t xml:space="preserve">% de garçons, </w:t>
      </w:r>
      <w:r w:rsidR="00301276">
        <w:t>48,0</w:t>
      </w:r>
      <w:r w:rsidR="00316676">
        <w:t> </w:t>
      </w:r>
      <w:r>
        <w:t>% de filles)</w:t>
      </w:r>
      <w:r w:rsidR="00316676">
        <w:t xml:space="preserve"> (étude 5)</w:t>
      </w:r>
      <w:r>
        <w:t xml:space="preserve">. </w:t>
      </w:r>
      <w:r w:rsidR="00301276" w:rsidRPr="00301276">
        <w:t xml:space="preserve">Dans la population évaluable </w:t>
      </w:r>
      <w:r w:rsidR="00301276">
        <w:t>en matière d’</w:t>
      </w:r>
      <w:r w:rsidR="00301276" w:rsidRPr="00301276">
        <w:t>immunogénicité (n</w:t>
      </w:r>
      <w:r w:rsidR="00301276">
        <w:t> </w:t>
      </w:r>
      <w:r w:rsidR="00301276" w:rsidRPr="00301276">
        <w:t>=</w:t>
      </w:r>
      <w:r w:rsidR="00301276">
        <w:t> </w:t>
      </w:r>
      <w:r w:rsidR="00301276" w:rsidRPr="00301276">
        <w:t>4</w:t>
      </w:r>
      <w:r w:rsidR="00B94679">
        <w:t>6</w:t>
      </w:r>
      <w:r w:rsidR="00301276" w:rsidRPr="00301276">
        <w:t>6), le ra</w:t>
      </w:r>
      <w:r w:rsidR="00301276">
        <w:t xml:space="preserve">tio </w:t>
      </w:r>
      <w:r w:rsidR="00FB6CCB">
        <w:t>garçons</w:t>
      </w:r>
      <w:r w:rsidR="00301276">
        <w:t>/</w:t>
      </w:r>
      <w:r w:rsidR="00FB6CCB">
        <w:t>filles</w:t>
      </w:r>
      <w:r w:rsidR="00301276">
        <w:t xml:space="preserve"> était de 52,8</w:t>
      </w:r>
      <w:r w:rsidR="00316676">
        <w:t> </w:t>
      </w:r>
      <w:r w:rsidR="00301276">
        <w:t xml:space="preserve">% </w:t>
      </w:r>
      <w:r w:rsidR="00FB6CCB">
        <w:t>de garçons</w:t>
      </w:r>
      <w:r w:rsidR="00301276" w:rsidRPr="00301276">
        <w:t xml:space="preserve"> et 4</w:t>
      </w:r>
      <w:r w:rsidR="00301276">
        <w:t>7,2</w:t>
      </w:r>
      <w:r w:rsidR="00316676">
        <w:t> </w:t>
      </w:r>
      <w:r w:rsidR="00301276" w:rsidRPr="00301276">
        <w:t xml:space="preserve">% de </w:t>
      </w:r>
      <w:r w:rsidR="00FB6CCB">
        <w:t>filles</w:t>
      </w:r>
      <w:r w:rsidR="00301276" w:rsidRPr="00301276">
        <w:t xml:space="preserve">. </w:t>
      </w:r>
      <w:r>
        <w:t>Les taux de séroconversion chez les personnes ayant reçu le vaccin et le placebo, ainsi que les résultats d</w:t>
      </w:r>
      <w:proofErr w:type="gramStart"/>
      <w:r>
        <w:t>’«</w:t>
      </w:r>
      <w:proofErr w:type="gramEnd"/>
      <w:r>
        <w:t> </w:t>
      </w:r>
      <w:proofErr w:type="spellStart"/>
      <w:r>
        <w:t>immunobridging</w:t>
      </w:r>
      <w:proofErr w:type="spellEnd"/>
      <w:r>
        <w:t> » sont présentés dans le tableau 4.</w:t>
      </w:r>
    </w:p>
    <w:p w14:paraId="7F9A0B27" w14:textId="77777777" w:rsidR="009C5AEA" w:rsidRDefault="009C5AEA" w:rsidP="00DE78B3"/>
    <w:p w14:paraId="53AAC829" w14:textId="609309F3" w:rsidR="00301276" w:rsidRDefault="00301276" w:rsidP="00DE78B3">
      <w:r>
        <w:t>Des données d’</w:t>
      </w:r>
      <w:r w:rsidRPr="00301276">
        <w:t>immunogénicité à long terme sont disp</w:t>
      </w:r>
      <w:r>
        <w:t>onibles pour un sous-groupe d’enfants âgés de 12</w:t>
      </w:r>
      <w:r w:rsidR="00316676">
        <w:t> </w:t>
      </w:r>
      <w:r w:rsidR="008F449B">
        <w:t xml:space="preserve">ans </w:t>
      </w:r>
      <w:r>
        <w:t>à moins de 18 </w:t>
      </w:r>
      <w:r w:rsidRPr="00301276">
        <w:t xml:space="preserve">ans. Le taux de séroconversion </w:t>
      </w:r>
      <w:r>
        <w:t>a varié entre 100</w:t>
      </w:r>
      <w:r w:rsidR="00316676">
        <w:t> </w:t>
      </w:r>
      <w:r>
        <w:t>% 28 </w:t>
      </w:r>
      <w:r w:rsidRPr="00301276">
        <w:t>jou</w:t>
      </w:r>
      <w:r>
        <w:t>rs après la vaccination et 64,5</w:t>
      </w:r>
      <w:r w:rsidR="00316676">
        <w:t> </w:t>
      </w:r>
      <w:r>
        <w:t xml:space="preserve">% 729 jours après la vaccination. </w:t>
      </w:r>
      <w:r w:rsidRPr="00301276">
        <w:t>Les résultats de la séroconversion au fil du temps</w:t>
      </w:r>
      <w:r>
        <w:t xml:space="preserve"> sont présentés dans le tableau </w:t>
      </w:r>
      <w:r w:rsidRPr="00301276">
        <w:t>5.</w:t>
      </w:r>
    </w:p>
    <w:p w14:paraId="59CDA36F" w14:textId="77777777" w:rsidR="00301276" w:rsidRDefault="00301276" w:rsidP="00DE78B3"/>
    <w:p w14:paraId="4103D1A9" w14:textId="03F19EA0" w:rsidR="009C5AEA" w:rsidRDefault="00F52356" w:rsidP="00DE78B3">
      <w:pPr>
        <w:pStyle w:val="TableTitle"/>
        <w:ind w:left="0" w:firstLine="0"/>
        <w:outlineLvl w:val="9"/>
      </w:pPr>
      <w:r>
        <w:lastRenderedPageBreak/>
        <w:t xml:space="preserve">Tableau 4 : Séroconversion des anticorps </w:t>
      </w:r>
      <w:proofErr w:type="spellStart"/>
      <w:r>
        <w:t>vibriocides</w:t>
      </w:r>
      <w:proofErr w:type="spellEnd"/>
      <w:r>
        <w:t xml:space="preserve"> contre la souche vaccinale classique </w:t>
      </w:r>
      <w:proofErr w:type="spellStart"/>
      <w:r>
        <w:t>Inaba</w:t>
      </w:r>
      <w:proofErr w:type="spellEnd"/>
      <w:r>
        <w:t xml:space="preserve"> </w:t>
      </w:r>
      <w:r>
        <w:rPr>
          <w:rStyle w:val="Emphasis"/>
        </w:rPr>
        <w:t>V</w:t>
      </w:r>
      <w:r w:rsidR="00316676">
        <w:rPr>
          <w:rStyle w:val="Emphasis"/>
        </w:rPr>
        <w:t>ibrio</w:t>
      </w:r>
      <w:r>
        <w:t> </w:t>
      </w:r>
      <w:r>
        <w:rPr>
          <w:rStyle w:val="Emphasis"/>
        </w:rPr>
        <w:t>cholerae</w:t>
      </w:r>
      <w:r>
        <w:t xml:space="preserve"> 10 jours après la vaccination </w:t>
      </w:r>
      <w:r w:rsidR="00267D83">
        <w:t>chez les</w:t>
      </w:r>
      <w:r>
        <w:t xml:space="preserve"> enfant</w:t>
      </w:r>
      <w:r w:rsidR="00267D83">
        <w:t>s</w:t>
      </w:r>
      <w:r w:rsidR="006C2AEF">
        <w:t xml:space="preserve"> [Population évaluable en matière d’immunogénicité]</w:t>
      </w:r>
    </w:p>
    <w:p w14:paraId="4A8F0F4B" w14:textId="77777777" w:rsidR="009C5AEA" w:rsidRDefault="009C5AEA" w:rsidP="00DE78B3">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538"/>
        <w:gridCol w:w="651"/>
        <w:gridCol w:w="1792"/>
        <w:gridCol w:w="682"/>
        <w:gridCol w:w="1864"/>
        <w:gridCol w:w="2530"/>
      </w:tblGrid>
      <w:tr w:rsidR="009C5AEA" w:rsidRPr="00316676" w14:paraId="2FD7901A" w14:textId="77777777">
        <w:tc>
          <w:tcPr>
            <w:tcW w:w="1538" w:type="dxa"/>
            <w:tcBorders>
              <w:top w:val="single" w:sz="12" w:space="0" w:color="auto"/>
              <w:left w:val="single" w:sz="12" w:space="0" w:color="auto"/>
              <w:bottom w:val="nil"/>
              <w:right w:val="nil"/>
            </w:tcBorders>
            <w:vAlign w:val="bottom"/>
          </w:tcPr>
          <w:p w14:paraId="6D4A9459" w14:textId="77777777" w:rsidR="009C5AEA" w:rsidRPr="00316676" w:rsidRDefault="00F52356" w:rsidP="00DE78B3">
            <w:pPr>
              <w:pStyle w:val="Normal10pt0"/>
              <w:keepNext/>
              <w:jc w:val="center"/>
              <w:rPr>
                <w:rStyle w:val="Strong"/>
                <w:sz w:val="22"/>
              </w:rPr>
            </w:pPr>
            <w:r w:rsidRPr="00AD6E27">
              <w:rPr>
                <w:rStyle w:val="Strong"/>
                <w:sz w:val="22"/>
              </w:rPr>
              <w:t>Étude</w:t>
            </w:r>
          </w:p>
        </w:tc>
        <w:tc>
          <w:tcPr>
            <w:tcW w:w="2443" w:type="dxa"/>
            <w:gridSpan w:val="2"/>
            <w:tcBorders>
              <w:top w:val="single" w:sz="12" w:space="0" w:color="auto"/>
              <w:left w:val="nil"/>
              <w:bottom w:val="nil"/>
              <w:right w:val="nil"/>
            </w:tcBorders>
            <w:vAlign w:val="bottom"/>
          </w:tcPr>
          <w:p w14:paraId="612A0DF2" w14:textId="77777777" w:rsidR="009C5AEA" w:rsidRPr="00AD6E27" w:rsidRDefault="00F52356" w:rsidP="00DE78B3">
            <w:pPr>
              <w:pStyle w:val="Normal10pt0"/>
              <w:keepNext/>
              <w:jc w:val="center"/>
              <w:rPr>
                <w:rStyle w:val="Strong"/>
                <w:sz w:val="22"/>
              </w:rPr>
            </w:pPr>
            <w:r w:rsidRPr="00AD6E27">
              <w:rPr>
                <w:rStyle w:val="Strong"/>
                <w:sz w:val="22"/>
              </w:rPr>
              <w:t>Personnes ayant reçu le vaccin Vaxchora</w:t>
            </w:r>
          </w:p>
        </w:tc>
        <w:tc>
          <w:tcPr>
            <w:tcW w:w="2546" w:type="dxa"/>
            <w:gridSpan w:val="2"/>
            <w:tcBorders>
              <w:top w:val="single" w:sz="12" w:space="0" w:color="auto"/>
              <w:left w:val="nil"/>
              <w:bottom w:val="nil"/>
              <w:right w:val="nil"/>
            </w:tcBorders>
            <w:vAlign w:val="bottom"/>
          </w:tcPr>
          <w:p w14:paraId="2565E13F" w14:textId="77777777" w:rsidR="009C5AEA" w:rsidRPr="00AD6E27" w:rsidRDefault="00F52356" w:rsidP="00DE78B3">
            <w:pPr>
              <w:pStyle w:val="Normal10pt0"/>
              <w:keepNext/>
              <w:jc w:val="center"/>
              <w:rPr>
                <w:rStyle w:val="Strong"/>
                <w:sz w:val="22"/>
              </w:rPr>
            </w:pPr>
            <w:r w:rsidRPr="00AD6E27">
              <w:rPr>
                <w:rStyle w:val="Strong"/>
                <w:sz w:val="22"/>
              </w:rPr>
              <w:t>Personnes ayant reçu le placebo</w:t>
            </w:r>
          </w:p>
        </w:tc>
        <w:tc>
          <w:tcPr>
            <w:tcW w:w="2530" w:type="dxa"/>
            <w:tcBorders>
              <w:top w:val="single" w:sz="12" w:space="0" w:color="auto"/>
              <w:left w:val="nil"/>
              <w:bottom w:val="nil"/>
              <w:right w:val="single" w:sz="12" w:space="0" w:color="auto"/>
            </w:tcBorders>
            <w:vAlign w:val="bottom"/>
          </w:tcPr>
          <w:p w14:paraId="507EE9AE" w14:textId="675F1074" w:rsidR="009C5AEA" w:rsidRPr="00AD6E27" w:rsidRDefault="00F52356" w:rsidP="00DE78B3">
            <w:pPr>
              <w:pStyle w:val="Normal10pt0"/>
              <w:keepNext/>
              <w:jc w:val="center"/>
              <w:rPr>
                <w:rStyle w:val="Strong"/>
                <w:sz w:val="22"/>
              </w:rPr>
            </w:pPr>
            <w:proofErr w:type="spellStart"/>
            <w:r w:rsidRPr="00AD6E27">
              <w:rPr>
                <w:rStyle w:val="Strong"/>
                <w:sz w:val="22"/>
              </w:rPr>
              <w:t>Immunobridging</w:t>
            </w:r>
            <w:proofErr w:type="spellEnd"/>
            <w:r w:rsidRPr="00AD6E27">
              <w:rPr>
                <w:rStyle w:val="Strong"/>
                <w:sz w:val="22"/>
              </w:rPr>
              <w:t> : différence de taux de séroconversion par rapport à l’</w:t>
            </w:r>
            <w:r w:rsidR="00316676" w:rsidRPr="00AD6E27">
              <w:rPr>
                <w:rStyle w:val="Strong"/>
                <w:sz w:val="22"/>
              </w:rPr>
              <w:t>étude 3</w:t>
            </w:r>
            <w:r w:rsidRPr="00AD6E27">
              <w:rPr>
                <w:rStyle w:val="Strong"/>
                <w:sz w:val="22"/>
              </w:rPr>
              <w:t>, chez les adultes âgés de 18</w:t>
            </w:r>
            <w:r w:rsidRPr="00AD6E27">
              <w:rPr>
                <w:rStyle w:val="Strong"/>
                <w:sz w:val="22"/>
              </w:rPr>
              <w:noBreakHyphen/>
              <w:t>45 ans</w:t>
            </w:r>
          </w:p>
        </w:tc>
      </w:tr>
      <w:tr w:rsidR="009C5AEA" w:rsidRPr="00316676" w14:paraId="75986BEB" w14:textId="77777777">
        <w:tc>
          <w:tcPr>
            <w:tcW w:w="1538" w:type="dxa"/>
            <w:tcBorders>
              <w:top w:val="nil"/>
              <w:left w:val="single" w:sz="12" w:space="0" w:color="auto"/>
              <w:bottom w:val="single" w:sz="12" w:space="0" w:color="auto"/>
              <w:right w:val="nil"/>
            </w:tcBorders>
            <w:vAlign w:val="bottom"/>
          </w:tcPr>
          <w:p w14:paraId="7BC011C1" w14:textId="77777777" w:rsidR="009C5AEA" w:rsidRPr="00AD6E27" w:rsidRDefault="00F52356" w:rsidP="00DE78B3">
            <w:pPr>
              <w:pStyle w:val="Normal10pt0"/>
              <w:keepNext/>
              <w:jc w:val="center"/>
              <w:rPr>
                <w:sz w:val="22"/>
              </w:rPr>
            </w:pPr>
            <w:r w:rsidRPr="00AD6E27">
              <w:rPr>
                <w:sz w:val="22"/>
              </w:rPr>
              <w:t>(</w:t>
            </w:r>
            <w:proofErr w:type="gramStart"/>
            <w:r w:rsidRPr="00AD6E27">
              <w:rPr>
                <w:sz w:val="22"/>
              </w:rPr>
              <w:t>âge</w:t>
            </w:r>
            <w:proofErr w:type="gramEnd"/>
            <w:r w:rsidRPr="00AD6E27">
              <w:rPr>
                <w:sz w:val="22"/>
              </w:rPr>
              <w:t xml:space="preserve"> en années)</w:t>
            </w:r>
          </w:p>
        </w:tc>
        <w:tc>
          <w:tcPr>
            <w:tcW w:w="651" w:type="dxa"/>
            <w:tcBorders>
              <w:top w:val="nil"/>
              <w:left w:val="nil"/>
              <w:bottom w:val="single" w:sz="12" w:space="0" w:color="auto"/>
              <w:right w:val="nil"/>
            </w:tcBorders>
            <w:vAlign w:val="bottom"/>
          </w:tcPr>
          <w:p w14:paraId="127610ED" w14:textId="77777777" w:rsidR="009C5AEA" w:rsidRPr="00AD6E27" w:rsidRDefault="00F52356" w:rsidP="00DE78B3">
            <w:pPr>
              <w:pStyle w:val="Normal10pt0"/>
              <w:keepNext/>
              <w:jc w:val="center"/>
              <w:rPr>
                <w:sz w:val="22"/>
              </w:rPr>
            </w:pPr>
            <w:r w:rsidRPr="00AD6E27">
              <w:rPr>
                <w:sz w:val="22"/>
              </w:rPr>
              <w:t>N</w:t>
            </w:r>
            <w:r w:rsidRPr="00AD6E27">
              <w:rPr>
                <w:rStyle w:val="Superscript"/>
                <w:sz w:val="22"/>
              </w:rPr>
              <w:t>b</w:t>
            </w:r>
          </w:p>
        </w:tc>
        <w:tc>
          <w:tcPr>
            <w:tcW w:w="1792" w:type="dxa"/>
            <w:tcBorders>
              <w:top w:val="nil"/>
              <w:left w:val="nil"/>
              <w:bottom w:val="single" w:sz="12" w:space="0" w:color="auto"/>
              <w:right w:val="nil"/>
            </w:tcBorders>
            <w:vAlign w:val="bottom"/>
          </w:tcPr>
          <w:p w14:paraId="567418A8" w14:textId="77777777" w:rsidR="009C5AEA" w:rsidRPr="00AD6E27" w:rsidRDefault="00F52356" w:rsidP="00DE78B3">
            <w:pPr>
              <w:pStyle w:val="Normal10pt0"/>
              <w:keepNext/>
              <w:jc w:val="center"/>
              <w:rPr>
                <w:sz w:val="22"/>
              </w:rPr>
            </w:pPr>
            <w:proofErr w:type="spellStart"/>
            <w:r w:rsidRPr="00AD6E27">
              <w:rPr>
                <w:sz w:val="22"/>
              </w:rPr>
              <w:t>Séroconversion</w:t>
            </w:r>
            <w:r w:rsidRPr="00AD6E27">
              <w:rPr>
                <w:rStyle w:val="Superscript"/>
                <w:sz w:val="22"/>
              </w:rPr>
              <w:t>a</w:t>
            </w:r>
            <w:proofErr w:type="spellEnd"/>
          </w:p>
          <w:p w14:paraId="3EE2C697" w14:textId="77777777" w:rsidR="009C5AEA" w:rsidRPr="00AD6E27" w:rsidRDefault="00F52356" w:rsidP="00DE78B3">
            <w:pPr>
              <w:pStyle w:val="Normal10pt0"/>
              <w:keepNext/>
              <w:jc w:val="center"/>
              <w:rPr>
                <w:sz w:val="22"/>
              </w:rPr>
            </w:pPr>
            <w:r w:rsidRPr="00AD6E27">
              <w:rPr>
                <w:sz w:val="22"/>
              </w:rPr>
              <w:t>%</w:t>
            </w:r>
          </w:p>
          <w:p w14:paraId="1CE9555E" w14:textId="0602EF24" w:rsidR="009C5AEA" w:rsidRPr="00AD6E27" w:rsidRDefault="00F52356" w:rsidP="00DE78B3">
            <w:pPr>
              <w:pStyle w:val="Normal10pt0"/>
              <w:keepNext/>
              <w:jc w:val="center"/>
              <w:rPr>
                <w:sz w:val="22"/>
              </w:rPr>
            </w:pPr>
            <w:r w:rsidRPr="00AD6E27">
              <w:rPr>
                <w:sz w:val="22"/>
              </w:rPr>
              <w:t>[IC à 9</w:t>
            </w:r>
            <w:r w:rsidR="00811B4D" w:rsidRPr="00AD6E27">
              <w:rPr>
                <w:sz w:val="22"/>
              </w:rPr>
              <w:t>8,3</w:t>
            </w:r>
            <w:r w:rsidR="00316676" w:rsidRPr="00AD6E27">
              <w:rPr>
                <w:sz w:val="22"/>
              </w:rPr>
              <w:t> </w:t>
            </w:r>
            <w:r w:rsidRPr="00AD6E27">
              <w:rPr>
                <w:sz w:val="22"/>
              </w:rPr>
              <w:t>%]</w:t>
            </w:r>
          </w:p>
        </w:tc>
        <w:tc>
          <w:tcPr>
            <w:tcW w:w="682" w:type="dxa"/>
            <w:tcBorders>
              <w:top w:val="nil"/>
              <w:left w:val="nil"/>
              <w:bottom w:val="single" w:sz="12" w:space="0" w:color="auto"/>
              <w:right w:val="nil"/>
            </w:tcBorders>
            <w:vAlign w:val="bottom"/>
          </w:tcPr>
          <w:p w14:paraId="3E7CA7B4" w14:textId="77777777" w:rsidR="009C5AEA" w:rsidRPr="00AD6E27" w:rsidRDefault="00F52356" w:rsidP="00DE78B3">
            <w:pPr>
              <w:pStyle w:val="Normal10pt0"/>
              <w:keepNext/>
              <w:jc w:val="center"/>
              <w:rPr>
                <w:sz w:val="22"/>
              </w:rPr>
            </w:pPr>
            <w:r w:rsidRPr="00AD6E27">
              <w:rPr>
                <w:sz w:val="22"/>
              </w:rPr>
              <w:t>N</w:t>
            </w:r>
            <w:r w:rsidRPr="00AD6E27">
              <w:rPr>
                <w:rStyle w:val="Superscript"/>
                <w:sz w:val="22"/>
              </w:rPr>
              <w:t>b</w:t>
            </w:r>
          </w:p>
        </w:tc>
        <w:tc>
          <w:tcPr>
            <w:tcW w:w="1864" w:type="dxa"/>
            <w:tcBorders>
              <w:top w:val="nil"/>
              <w:left w:val="nil"/>
              <w:bottom w:val="single" w:sz="12" w:space="0" w:color="auto"/>
              <w:right w:val="nil"/>
            </w:tcBorders>
            <w:vAlign w:val="bottom"/>
          </w:tcPr>
          <w:p w14:paraId="4F3A72D7" w14:textId="77777777" w:rsidR="009C5AEA" w:rsidRPr="00AD6E27" w:rsidRDefault="00F52356" w:rsidP="00DE78B3">
            <w:pPr>
              <w:pStyle w:val="Normal10pt0"/>
              <w:keepNext/>
              <w:jc w:val="center"/>
              <w:rPr>
                <w:sz w:val="22"/>
              </w:rPr>
            </w:pPr>
            <w:proofErr w:type="spellStart"/>
            <w:r w:rsidRPr="00AD6E27">
              <w:rPr>
                <w:sz w:val="22"/>
              </w:rPr>
              <w:t>Séroconversion</w:t>
            </w:r>
            <w:r w:rsidRPr="00AD6E27">
              <w:rPr>
                <w:rStyle w:val="Superscript"/>
                <w:sz w:val="22"/>
              </w:rPr>
              <w:t>a</w:t>
            </w:r>
            <w:proofErr w:type="spellEnd"/>
          </w:p>
          <w:p w14:paraId="105482C4" w14:textId="77777777" w:rsidR="009C5AEA" w:rsidRPr="00AD6E27" w:rsidRDefault="00F52356" w:rsidP="00DE78B3">
            <w:pPr>
              <w:pStyle w:val="Normal10pt0"/>
              <w:keepNext/>
              <w:jc w:val="center"/>
              <w:rPr>
                <w:sz w:val="22"/>
              </w:rPr>
            </w:pPr>
            <w:r w:rsidRPr="00AD6E27">
              <w:rPr>
                <w:sz w:val="22"/>
              </w:rPr>
              <w:t>%</w:t>
            </w:r>
          </w:p>
          <w:p w14:paraId="152958D2" w14:textId="78D45590" w:rsidR="009C5AEA" w:rsidRPr="00AD6E27" w:rsidRDefault="00F52356" w:rsidP="00DE78B3">
            <w:pPr>
              <w:pStyle w:val="Normal10pt0"/>
              <w:keepNext/>
              <w:jc w:val="center"/>
              <w:rPr>
                <w:sz w:val="22"/>
              </w:rPr>
            </w:pPr>
            <w:r w:rsidRPr="00AD6E27">
              <w:rPr>
                <w:sz w:val="22"/>
              </w:rPr>
              <w:t>[IC à 95</w:t>
            </w:r>
            <w:r w:rsidR="00316676" w:rsidRPr="00AD6E27">
              <w:rPr>
                <w:sz w:val="22"/>
              </w:rPr>
              <w:t> </w:t>
            </w:r>
            <w:r w:rsidRPr="00AD6E27">
              <w:rPr>
                <w:sz w:val="22"/>
              </w:rPr>
              <w:t>%</w:t>
            </w:r>
            <w:r w:rsidRPr="00AD6E27">
              <w:rPr>
                <w:rStyle w:val="Superscript"/>
                <w:sz w:val="22"/>
              </w:rPr>
              <w:t>c</w:t>
            </w:r>
            <w:r w:rsidRPr="00AD6E27">
              <w:rPr>
                <w:sz w:val="22"/>
              </w:rPr>
              <w:t>]</w:t>
            </w:r>
          </w:p>
        </w:tc>
        <w:tc>
          <w:tcPr>
            <w:tcW w:w="2530" w:type="dxa"/>
            <w:tcBorders>
              <w:top w:val="nil"/>
              <w:left w:val="nil"/>
              <w:bottom w:val="single" w:sz="12" w:space="0" w:color="auto"/>
              <w:right w:val="single" w:sz="12" w:space="0" w:color="auto"/>
            </w:tcBorders>
            <w:vAlign w:val="bottom"/>
          </w:tcPr>
          <w:p w14:paraId="6E412BEE" w14:textId="77777777" w:rsidR="009C5AEA" w:rsidRPr="00AD6E27" w:rsidRDefault="00F52356" w:rsidP="00DE78B3">
            <w:pPr>
              <w:pStyle w:val="Normal10pt0"/>
              <w:keepNext/>
              <w:jc w:val="center"/>
              <w:rPr>
                <w:sz w:val="22"/>
              </w:rPr>
            </w:pPr>
            <w:r w:rsidRPr="00AD6E27">
              <w:rPr>
                <w:sz w:val="22"/>
              </w:rPr>
              <w:t>%</w:t>
            </w:r>
            <w:r w:rsidRPr="00AD6E27">
              <w:rPr>
                <w:rStyle w:val="Superscript"/>
                <w:sz w:val="22"/>
              </w:rPr>
              <w:t>d</w:t>
            </w:r>
          </w:p>
          <w:p w14:paraId="553F39C7" w14:textId="7C7C7AEA" w:rsidR="009C5AEA" w:rsidRPr="00AD6E27" w:rsidRDefault="00F52356" w:rsidP="00DE78B3">
            <w:pPr>
              <w:pStyle w:val="Normal10pt0"/>
              <w:keepNext/>
              <w:jc w:val="center"/>
              <w:rPr>
                <w:sz w:val="22"/>
              </w:rPr>
            </w:pPr>
            <w:r w:rsidRPr="00AD6E27">
              <w:rPr>
                <w:sz w:val="22"/>
              </w:rPr>
              <w:t>[IC à 96,7</w:t>
            </w:r>
            <w:r w:rsidR="00316676" w:rsidRPr="00AD6E27">
              <w:rPr>
                <w:sz w:val="22"/>
              </w:rPr>
              <w:t> </w:t>
            </w:r>
            <w:r w:rsidRPr="00AD6E27">
              <w:rPr>
                <w:sz w:val="22"/>
              </w:rPr>
              <w:t>%]</w:t>
            </w:r>
          </w:p>
        </w:tc>
      </w:tr>
      <w:tr w:rsidR="009C5AEA" w:rsidRPr="00316676" w14:paraId="491F18C2" w14:textId="77777777">
        <w:tc>
          <w:tcPr>
            <w:tcW w:w="1538" w:type="dxa"/>
            <w:tcBorders>
              <w:top w:val="single" w:sz="12" w:space="0" w:color="auto"/>
              <w:left w:val="single" w:sz="12" w:space="0" w:color="auto"/>
              <w:bottom w:val="single" w:sz="12" w:space="0" w:color="auto"/>
              <w:right w:val="nil"/>
            </w:tcBorders>
          </w:tcPr>
          <w:p w14:paraId="73711466" w14:textId="4B9326C1" w:rsidR="009C5AEA" w:rsidRPr="00AD6E27" w:rsidRDefault="00F52356" w:rsidP="00DE78B3">
            <w:pPr>
              <w:pStyle w:val="Normal10pt0"/>
              <w:keepNext/>
              <w:jc w:val="center"/>
              <w:rPr>
                <w:sz w:val="22"/>
              </w:rPr>
            </w:pPr>
            <w:r w:rsidRPr="00AD6E27">
              <w:rPr>
                <w:sz w:val="22"/>
              </w:rPr>
              <w:t xml:space="preserve">Essai pédiatrique </w:t>
            </w:r>
            <w:r w:rsidR="00316676" w:rsidRPr="00AD6E27">
              <w:rPr>
                <w:sz w:val="22"/>
              </w:rPr>
              <w:t>(étude 5)</w:t>
            </w:r>
            <w:r w:rsidR="00316676" w:rsidRPr="00AD6E27">
              <w:rPr>
                <w:sz w:val="22"/>
              </w:rPr>
              <w:br/>
            </w:r>
            <w:r w:rsidRPr="00AD6E27">
              <w:rPr>
                <w:sz w:val="22"/>
              </w:rPr>
              <w:t>(</w:t>
            </w:r>
            <w:r w:rsidR="006C2AEF" w:rsidRPr="00AD6E27">
              <w:rPr>
                <w:sz w:val="22"/>
              </w:rPr>
              <w:t>2</w:t>
            </w:r>
            <w:r w:rsidRPr="00AD6E27">
              <w:rPr>
                <w:sz w:val="22"/>
              </w:rPr>
              <w:t xml:space="preserve"> – </w:t>
            </w:r>
            <w:r w:rsidR="00811B4D" w:rsidRPr="00AD6E27">
              <w:rPr>
                <w:sz w:val="22"/>
              </w:rPr>
              <w:t>&lt; 18</w:t>
            </w:r>
            <w:r w:rsidRPr="00AD6E27">
              <w:rPr>
                <w:sz w:val="22"/>
              </w:rPr>
              <w:t>)</w:t>
            </w:r>
          </w:p>
        </w:tc>
        <w:tc>
          <w:tcPr>
            <w:tcW w:w="651" w:type="dxa"/>
            <w:tcBorders>
              <w:top w:val="single" w:sz="12" w:space="0" w:color="auto"/>
              <w:left w:val="nil"/>
              <w:bottom w:val="single" w:sz="12" w:space="0" w:color="auto"/>
              <w:right w:val="nil"/>
            </w:tcBorders>
          </w:tcPr>
          <w:p w14:paraId="54287AF9" w14:textId="69A68AB5" w:rsidR="009C5AEA" w:rsidRPr="00AD6E27" w:rsidRDefault="00811B4D" w:rsidP="00DE78B3">
            <w:pPr>
              <w:pStyle w:val="Normal10pt0"/>
              <w:keepNext/>
              <w:jc w:val="center"/>
              <w:rPr>
                <w:sz w:val="22"/>
              </w:rPr>
            </w:pPr>
            <w:r w:rsidRPr="00AD6E27">
              <w:rPr>
                <w:sz w:val="22"/>
              </w:rPr>
              <w:t>399</w:t>
            </w:r>
          </w:p>
        </w:tc>
        <w:tc>
          <w:tcPr>
            <w:tcW w:w="1792" w:type="dxa"/>
            <w:tcBorders>
              <w:top w:val="single" w:sz="12" w:space="0" w:color="auto"/>
              <w:left w:val="nil"/>
              <w:bottom w:val="single" w:sz="12" w:space="0" w:color="auto"/>
              <w:right w:val="nil"/>
            </w:tcBorders>
          </w:tcPr>
          <w:p w14:paraId="30028E48" w14:textId="30CA9C19" w:rsidR="009C5AEA" w:rsidRPr="00AD6E27" w:rsidRDefault="00F52356" w:rsidP="00DE78B3">
            <w:pPr>
              <w:pStyle w:val="Normal10pt0"/>
              <w:keepNext/>
              <w:jc w:val="center"/>
              <w:rPr>
                <w:sz w:val="22"/>
              </w:rPr>
            </w:pPr>
            <w:r w:rsidRPr="00AD6E27">
              <w:rPr>
                <w:sz w:val="22"/>
              </w:rPr>
              <w:t>98,</w:t>
            </w:r>
            <w:r w:rsidR="00811B4D" w:rsidRPr="00AD6E27">
              <w:rPr>
                <w:sz w:val="22"/>
              </w:rPr>
              <w:t>5</w:t>
            </w:r>
            <w:r w:rsidR="00316676" w:rsidRPr="00AD6E27">
              <w:rPr>
                <w:sz w:val="22"/>
              </w:rPr>
              <w:t> </w:t>
            </w:r>
            <w:r w:rsidRPr="00AD6E27">
              <w:rPr>
                <w:sz w:val="22"/>
              </w:rPr>
              <w:t>%</w:t>
            </w:r>
          </w:p>
          <w:p w14:paraId="6D19223E" w14:textId="159ACE79" w:rsidR="009C5AEA" w:rsidRPr="00AD6E27" w:rsidRDefault="00F52356" w:rsidP="00DE78B3">
            <w:pPr>
              <w:pStyle w:val="Normal10pt0"/>
              <w:keepNext/>
              <w:jc w:val="center"/>
              <w:rPr>
                <w:sz w:val="22"/>
              </w:rPr>
            </w:pPr>
            <w:r w:rsidRPr="00AD6E27">
              <w:rPr>
                <w:sz w:val="22"/>
              </w:rPr>
              <w:t>[96,</w:t>
            </w:r>
            <w:r w:rsidR="00811B4D" w:rsidRPr="00AD6E27">
              <w:rPr>
                <w:sz w:val="22"/>
              </w:rPr>
              <w:t>2</w:t>
            </w:r>
            <w:r w:rsidR="00316676" w:rsidRPr="00AD6E27">
              <w:rPr>
                <w:sz w:val="22"/>
              </w:rPr>
              <w:t> </w:t>
            </w:r>
            <w:r w:rsidRPr="00AD6E27">
              <w:rPr>
                <w:sz w:val="22"/>
              </w:rPr>
              <w:t>%, 99,</w:t>
            </w:r>
            <w:r w:rsidR="00811B4D" w:rsidRPr="00AD6E27">
              <w:rPr>
                <w:sz w:val="22"/>
              </w:rPr>
              <w:t>4</w:t>
            </w:r>
            <w:r w:rsidR="00316676" w:rsidRPr="00AD6E27">
              <w:rPr>
                <w:sz w:val="22"/>
              </w:rPr>
              <w:t> </w:t>
            </w:r>
            <w:r w:rsidRPr="00AD6E27">
              <w:rPr>
                <w:sz w:val="22"/>
              </w:rPr>
              <w:t>%]</w:t>
            </w:r>
          </w:p>
        </w:tc>
        <w:tc>
          <w:tcPr>
            <w:tcW w:w="682" w:type="dxa"/>
            <w:tcBorders>
              <w:top w:val="single" w:sz="12" w:space="0" w:color="auto"/>
              <w:left w:val="nil"/>
              <w:bottom w:val="single" w:sz="12" w:space="0" w:color="auto"/>
              <w:right w:val="nil"/>
            </w:tcBorders>
          </w:tcPr>
          <w:p w14:paraId="7843864D" w14:textId="1D01B711" w:rsidR="009C5AEA" w:rsidRPr="00AD6E27" w:rsidRDefault="00811B4D" w:rsidP="00DE78B3">
            <w:pPr>
              <w:pStyle w:val="Normal10pt0"/>
              <w:keepNext/>
              <w:jc w:val="center"/>
              <w:rPr>
                <w:sz w:val="22"/>
              </w:rPr>
            </w:pPr>
            <w:r w:rsidRPr="00AD6E27">
              <w:rPr>
                <w:sz w:val="22"/>
              </w:rPr>
              <w:t>67</w:t>
            </w:r>
          </w:p>
        </w:tc>
        <w:tc>
          <w:tcPr>
            <w:tcW w:w="1864" w:type="dxa"/>
            <w:tcBorders>
              <w:top w:val="single" w:sz="12" w:space="0" w:color="auto"/>
              <w:left w:val="nil"/>
              <w:bottom w:val="single" w:sz="12" w:space="0" w:color="auto"/>
              <w:right w:val="nil"/>
            </w:tcBorders>
          </w:tcPr>
          <w:p w14:paraId="518439D3" w14:textId="6B2E562A" w:rsidR="009C5AEA" w:rsidRPr="00AD6E27" w:rsidRDefault="00811B4D" w:rsidP="00DE78B3">
            <w:pPr>
              <w:pStyle w:val="Normal10pt0"/>
              <w:keepNext/>
              <w:jc w:val="center"/>
              <w:rPr>
                <w:sz w:val="22"/>
              </w:rPr>
            </w:pPr>
            <w:r w:rsidRPr="00AD6E27">
              <w:rPr>
                <w:sz w:val="22"/>
              </w:rPr>
              <w:t>1,5</w:t>
            </w:r>
            <w:r w:rsidR="00316676" w:rsidRPr="00AD6E27">
              <w:rPr>
                <w:sz w:val="22"/>
              </w:rPr>
              <w:t> </w:t>
            </w:r>
            <w:r w:rsidR="00F52356" w:rsidRPr="00AD6E27">
              <w:rPr>
                <w:sz w:val="22"/>
              </w:rPr>
              <w:t>%</w:t>
            </w:r>
          </w:p>
          <w:p w14:paraId="58AB2540" w14:textId="20972763" w:rsidR="009C5AEA" w:rsidRPr="00AD6E27" w:rsidRDefault="00F52356" w:rsidP="00DE78B3">
            <w:pPr>
              <w:pStyle w:val="Normal10pt0"/>
              <w:keepNext/>
              <w:jc w:val="center"/>
              <w:rPr>
                <w:sz w:val="22"/>
              </w:rPr>
            </w:pPr>
            <w:r w:rsidRPr="00AD6E27">
              <w:rPr>
                <w:sz w:val="22"/>
              </w:rPr>
              <w:t>[0,</w:t>
            </w:r>
            <w:r w:rsidR="00811B4D" w:rsidRPr="00AD6E27">
              <w:rPr>
                <w:sz w:val="22"/>
              </w:rPr>
              <w:t>3</w:t>
            </w:r>
            <w:r w:rsidR="00316676" w:rsidRPr="00AD6E27">
              <w:rPr>
                <w:sz w:val="22"/>
              </w:rPr>
              <w:t> </w:t>
            </w:r>
            <w:r w:rsidRPr="00AD6E27">
              <w:rPr>
                <w:sz w:val="22"/>
              </w:rPr>
              <w:t xml:space="preserve">%, </w:t>
            </w:r>
            <w:r w:rsidR="00811B4D" w:rsidRPr="00AD6E27">
              <w:rPr>
                <w:sz w:val="22"/>
              </w:rPr>
              <w:t>8,0</w:t>
            </w:r>
            <w:r w:rsidR="00316676" w:rsidRPr="00AD6E27">
              <w:rPr>
                <w:sz w:val="22"/>
              </w:rPr>
              <w:t> </w:t>
            </w:r>
            <w:r w:rsidRPr="00AD6E27">
              <w:rPr>
                <w:sz w:val="22"/>
              </w:rPr>
              <w:t>%]</w:t>
            </w:r>
          </w:p>
        </w:tc>
        <w:tc>
          <w:tcPr>
            <w:tcW w:w="2530" w:type="dxa"/>
            <w:tcBorders>
              <w:top w:val="single" w:sz="12" w:space="0" w:color="auto"/>
              <w:left w:val="nil"/>
              <w:bottom w:val="single" w:sz="12" w:space="0" w:color="auto"/>
              <w:right w:val="single" w:sz="12" w:space="0" w:color="auto"/>
            </w:tcBorders>
          </w:tcPr>
          <w:p w14:paraId="38C0DAAC" w14:textId="35BE36F6" w:rsidR="009C5AEA" w:rsidRPr="00AD6E27" w:rsidRDefault="00F52356" w:rsidP="00DE78B3">
            <w:pPr>
              <w:pStyle w:val="Normal10pt0"/>
              <w:keepNext/>
              <w:jc w:val="center"/>
              <w:rPr>
                <w:sz w:val="22"/>
              </w:rPr>
            </w:pPr>
            <w:r w:rsidRPr="00AD6E27">
              <w:rPr>
                <w:sz w:val="22"/>
              </w:rPr>
              <w:t>5,</w:t>
            </w:r>
            <w:r w:rsidR="00811B4D" w:rsidRPr="00AD6E27">
              <w:rPr>
                <w:sz w:val="22"/>
              </w:rPr>
              <w:t>0</w:t>
            </w:r>
            <w:r w:rsidR="00316676" w:rsidRPr="00AD6E27">
              <w:rPr>
                <w:sz w:val="22"/>
              </w:rPr>
              <w:t> </w:t>
            </w:r>
            <w:r w:rsidRPr="00AD6E27">
              <w:rPr>
                <w:sz w:val="22"/>
              </w:rPr>
              <w:t>%</w:t>
            </w:r>
          </w:p>
          <w:p w14:paraId="5991CAD4" w14:textId="4B10105C" w:rsidR="009C5AEA" w:rsidRPr="00AD6E27" w:rsidRDefault="00F52356" w:rsidP="00DE78B3">
            <w:pPr>
              <w:pStyle w:val="Normal10pt0"/>
              <w:keepNext/>
              <w:jc w:val="center"/>
              <w:rPr>
                <w:sz w:val="22"/>
              </w:rPr>
            </w:pPr>
            <w:r w:rsidRPr="00AD6E27">
              <w:rPr>
                <w:sz w:val="22"/>
              </w:rPr>
              <w:t>[2,</w:t>
            </w:r>
            <w:r w:rsidR="00811B4D" w:rsidRPr="00AD6E27">
              <w:rPr>
                <w:sz w:val="22"/>
              </w:rPr>
              <w:t>8</w:t>
            </w:r>
            <w:r w:rsidR="00316676" w:rsidRPr="00AD6E27">
              <w:rPr>
                <w:sz w:val="22"/>
              </w:rPr>
              <w:t> </w:t>
            </w:r>
            <w:r w:rsidRPr="00AD6E27">
              <w:rPr>
                <w:sz w:val="22"/>
              </w:rPr>
              <w:t>%, 6,</w:t>
            </w:r>
            <w:r w:rsidR="00811B4D" w:rsidRPr="00AD6E27">
              <w:rPr>
                <w:sz w:val="22"/>
              </w:rPr>
              <w:t>4</w:t>
            </w:r>
            <w:r w:rsidR="00316676" w:rsidRPr="00AD6E27">
              <w:rPr>
                <w:sz w:val="22"/>
              </w:rPr>
              <w:t> </w:t>
            </w:r>
            <w:r w:rsidRPr="00AD6E27">
              <w:rPr>
                <w:sz w:val="22"/>
              </w:rPr>
              <w:t>%]</w:t>
            </w:r>
            <w:r w:rsidRPr="00AD6E27">
              <w:rPr>
                <w:rStyle w:val="Superscript"/>
                <w:sz w:val="22"/>
              </w:rPr>
              <w:t>c</w:t>
            </w:r>
          </w:p>
        </w:tc>
      </w:tr>
    </w:tbl>
    <w:p w14:paraId="490599FA" w14:textId="5CF39B0E" w:rsidR="009C5AEA" w:rsidRDefault="00F52356" w:rsidP="00DE78B3">
      <w:pPr>
        <w:pStyle w:val="Normal10pt0"/>
        <w:keepNext/>
        <w:ind w:left="284" w:hanging="284"/>
      </w:pPr>
      <w:proofErr w:type="gramStart"/>
      <w:r>
        <w:rPr>
          <w:rStyle w:val="Superscript"/>
        </w:rPr>
        <w:t>a</w:t>
      </w:r>
      <w:proofErr w:type="gramEnd"/>
      <w:r w:rsidR="00811B4D">
        <w:tab/>
      </w:r>
      <w:r>
        <w:t xml:space="preserve">La séroconversion se définit comme le pourcentage de sujets présentant une multiplication par au moins 4 des titres d’anticorps </w:t>
      </w:r>
      <w:proofErr w:type="spellStart"/>
      <w:r>
        <w:t>vibriocides</w:t>
      </w:r>
      <w:proofErr w:type="spellEnd"/>
      <w:r>
        <w:t xml:space="preserve"> 10 jours après la vaccination par rapport aux valeurs initiales.</w:t>
      </w:r>
    </w:p>
    <w:p w14:paraId="76F0DAF1" w14:textId="08904201" w:rsidR="009C5AEA" w:rsidRDefault="00F52356" w:rsidP="00DE78B3">
      <w:pPr>
        <w:pStyle w:val="Normal10pt0"/>
        <w:keepNext/>
        <w:ind w:left="284" w:hanging="284"/>
      </w:pPr>
      <w:proofErr w:type="gramStart"/>
      <w:r>
        <w:rPr>
          <w:rStyle w:val="Superscript"/>
        </w:rPr>
        <w:t>b</w:t>
      </w:r>
      <w:proofErr w:type="gramEnd"/>
      <w:r w:rsidR="00811B4D">
        <w:tab/>
      </w:r>
      <w:r>
        <w:t>N = nombre de sujets présentant des échantillons analysables au jour 1 et au jour 11.</w:t>
      </w:r>
    </w:p>
    <w:p w14:paraId="110C4890" w14:textId="2140D2A4" w:rsidR="009C5AEA" w:rsidRDefault="00F52356" w:rsidP="00DE78B3">
      <w:pPr>
        <w:pStyle w:val="Normal10pt0"/>
        <w:keepNext/>
        <w:ind w:left="284" w:hanging="284"/>
      </w:pPr>
      <w:proofErr w:type="gramStart"/>
      <w:r>
        <w:rPr>
          <w:rStyle w:val="Superscript"/>
        </w:rPr>
        <w:t>c</w:t>
      </w:r>
      <w:proofErr w:type="gramEnd"/>
      <w:r w:rsidR="00811B4D">
        <w:tab/>
      </w:r>
      <w:r>
        <w:t>IC = intervalle de confiance.</w:t>
      </w:r>
    </w:p>
    <w:p w14:paraId="1F487D47" w14:textId="3B4C4361" w:rsidR="009C5AEA" w:rsidRDefault="00F52356" w:rsidP="00DE78B3">
      <w:pPr>
        <w:pStyle w:val="Normal10pt0"/>
        <w:keepLines/>
        <w:ind w:left="284" w:hanging="284"/>
      </w:pPr>
      <w:proofErr w:type="gramStart"/>
      <w:r>
        <w:rPr>
          <w:rStyle w:val="Superscript"/>
        </w:rPr>
        <w:t>d</w:t>
      </w:r>
      <w:proofErr w:type="gramEnd"/>
      <w:r w:rsidR="00811B4D">
        <w:tab/>
      </w:r>
      <w:r>
        <w:t>Critère de non-infériorité : la limite inférieure de l’intervalle de confiance bilatéral à 98,3</w:t>
      </w:r>
      <w:r w:rsidR="00316676">
        <w:t> </w:t>
      </w:r>
      <w:r>
        <w:t xml:space="preserve">% sur la différence de taux de séroconversion par rapport aux adultes âgés de 18 à moins de 46 ans devait être supérieure à </w:t>
      </w:r>
      <w:r w:rsidR="00BE5FD3">
        <w:noBreakHyphen/>
      </w:r>
      <w:r>
        <w:t>10</w:t>
      </w:r>
      <w:r w:rsidR="001408F7">
        <w:t> </w:t>
      </w:r>
      <w:r>
        <w:t>points de pourcentage et la limite inférieure de l’intervalle de confiance bilatéral à 98,3</w:t>
      </w:r>
      <w:r w:rsidR="00316676">
        <w:t> </w:t>
      </w:r>
      <w:r>
        <w:t>% sur la proportion de personnes vaccinées ayant obtenu une séroconversion 10 jours après administration devait être supérieure ou égale à 70</w:t>
      </w:r>
      <w:r w:rsidR="00316676">
        <w:t> </w:t>
      </w:r>
      <w:r>
        <w:t>%.</w:t>
      </w:r>
    </w:p>
    <w:p w14:paraId="3AFAD2C7" w14:textId="77777777" w:rsidR="009C5AEA" w:rsidRDefault="009C5AEA" w:rsidP="00DE78B3"/>
    <w:p w14:paraId="4374E8CB" w14:textId="6EAB3894" w:rsidR="00811B4D" w:rsidRDefault="00811B4D" w:rsidP="00DE78B3">
      <w:pPr>
        <w:pStyle w:val="TableTitle"/>
        <w:ind w:left="0" w:firstLine="0"/>
        <w:outlineLvl w:val="9"/>
      </w:pPr>
      <w:r>
        <w:t xml:space="preserve">Tableau 5 : Séroconversion des anticorps </w:t>
      </w:r>
      <w:proofErr w:type="spellStart"/>
      <w:r>
        <w:t>vibriocides</w:t>
      </w:r>
      <w:proofErr w:type="spellEnd"/>
      <w:r>
        <w:t xml:space="preserve"> contre la souche vaccinale classique </w:t>
      </w:r>
      <w:proofErr w:type="spellStart"/>
      <w:r>
        <w:t>Inaba</w:t>
      </w:r>
      <w:proofErr w:type="spellEnd"/>
      <w:r>
        <w:t xml:space="preserve"> </w:t>
      </w:r>
      <w:r>
        <w:rPr>
          <w:rStyle w:val="Emphasis"/>
        </w:rPr>
        <w:t>V</w:t>
      </w:r>
      <w:r w:rsidR="00316676">
        <w:rPr>
          <w:rStyle w:val="Emphasis"/>
        </w:rPr>
        <w:t>ibrio</w:t>
      </w:r>
      <w:r>
        <w:t> </w:t>
      </w:r>
      <w:r>
        <w:rPr>
          <w:rStyle w:val="Emphasis"/>
        </w:rPr>
        <w:t>cholerae</w:t>
      </w:r>
      <w:r>
        <w:t xml:space="preserve"> 10 à 729 jours après la vaccination </w:t>
      </w:r>
      <w:r w:rsidR="00A55434">
        <w:t>chez les</w:t>
      </w:r>
      <w:r>
        <w:t xml:space="preserve"> enfant</w:t>
      </w:r>
      <w:r w:rsidR="00A55434">
        <w:t>s</w:t>
      </w:r>
      <w:r>
        <w:t xml:space="preserve"> âgé</w:t>
      </w:r>
      <w:r w:rsidR="00A55434">
        <w:t>s</w:t>
      </w:r>
      <w:r>
        <w:t xml:space="preserve"> de 1</w:t>
      </w:r>
      <w:r w:rsidR="008F449B">
        <w:t>2</w:t>
      </w:r>
      <w:r w:rsidR="00316676">
        <w:t> </w:t>
      </w:r>
      <w:r w:rsidR="008F449B">
        <w:t>ans à moins</w:t>
      </w:r>
      <w:r>
        <w:t xml:space="preserve"> de 18 ans [Population évaluable en matière d’immunogénicité </w:t>
      </w:r>
      <w:r w:rsidRPr="00811B4D">
        <w:t>dans la sous-étude de suivi à long terme</w:t>
      </w:r>
      <w:r>
        <w:t>]</w:t>
      </w:r>
    </w:p>
    <w:p w14:paraId="77139F0A" w14:textId="77777777" w:rsidR="00811B4D" w:rsidRPr="00811B4D" w:rsidRDefault="00811B4D" w:rsidP="00DE78B3">
      <w:pPr>
        <w:pStyle w:val="NormalKeep"/>
      </w:pPr>
    </w:p>
    <w:tbl>
      <w:tblPr>
        <w:tblW w:w="8046" w:type="dxa"/>
        <w:tblLayout w:type="fixed"/>
        <w:tblLook w:val="04A0" w:firstRow="1" w:lastRow="0" w:firstColumn="1" w:lastColumn="0" w:noHBand="0" w:noVBand="1"/>
      </w:tblPr>
      <w:tblGrid>
        <w:gridCol w:w="2415"/>
        <w:gridCol w:w="2513"/>
        <w:gridCol w:w="3118"/>
      </w:tblGrid>
      <w:tr w:rsidR="00811B4D" w:rsidRPr="00184644" w14:paraId="39ACAF07" w14:textId="77777777" w:rsidTr="00823C84">
        <w:trPr>
          <w:trHeight w:val="603"/>
        </w:trPr>
        <w:tc>
          <w:tcPr>
            <w:tcW w:w="2415" w:type="dxa"/>
            <w:tcBorders>
              <w:top w:val="single" w:sz="4" w:space="0" w:color="auto"/>
              <w:left w:val="single" w:sz="4" w:space="0" w:color="auto"/>
              <w:bottom w:val="single" w:sz="4" w:space="0" w:color="auto"/>
            </w:tcBorders>
            <w:vAlign w:val="bottom"/>
          </w:tcPr>
          <w:p w14:paraId="46C94708" w14:textId="77777777" w:rsidR="00811B4D" w:rsidRPr="00AD6E27" w:rsidRDefault="00811B4D" w:rsidP="00DE78B3">
            <w:pPr>
              <w:pStyle w:val="ParaText"/>
              <w:keepNext/>
              <w:keepLines/>
              <w:spacing w:before="0" w:after="0" w:line="240" w:lineRule="auto"/>
              <w:jc w:val="center"/>
              <w:rPr>
                <w:bCs/>
                <w:iCs/>
                <w:sz w:val="22"/>
                <w:szCs w:val="22"/>
                <w:lang w:val="fr-FR"/>
              </w:rPr>
            </w:pPr>
            <w:r w:rsidRPr="00AD6E27">
              <w:rPr>
                <w:b/>
                <w:bCs/>
                <w:iCs/>
                <w:sz w:val="22"/>
                <w:szCs w:val="22"/>
                <w:lang w:val="fr-FR"/>
              </w:rPr>
              <w:t xml:space="preserve">Essai </w:t>
            </w:r>
            <w:r w:rsidR="00AB1D0B" w:rsidRPr="00AD6E27">
              <w:rPr>
                <w:b/>
                <w:bCs/>
                <w:iCs/>
                <w:sz w:val="22"/>
                <w:szCs w:val="22"/>
                <w:lang w:val="fr-FR"/>
              </w:rPr>
              <w:t>pédiatrique</w:t>
            </w:r>
            <w:r w:rsidRPr="00AD6E27">
              <w:rPr>
                <w:b/>
                <w:bCs/>
                <w:iCs/>
                <w:sz w:val="22"/>
                <w:szCs w:val="22"/>
                <w:lang w:val="fr-FR"/>
              </w:rPr>
              <w:br/>
              <w:t>(12 – &lt; 18 ans)</w:t>
            </w:r>
            <w:r w:rsidRPr="00AD6E27">
              <w:rPr>
                <w:bCs/>
                <w:iCs/>
                <w:sz w:val="22"/>
                <w:szCs w:val="22"/>
                <w:lang w:val="fr-FR"/>
              </w:rPr>
              <w:br/>
            </w:r>
            <w:r w:rsidR="00AB1D0B" w:rsidRPr="00AD6E27">
              <w:rPr>
                <w:bCs/>
                <w:iCs/>
                <w:sz w:val="22"/>
                <w:szCs w:val="22"/>
                <w:lang w:val="fr-FR"/>
              </w:rPr>
              <w:t>Jour après la vaccination</w:t>
            </w:r>
          </w:p>
        </w:tc>
        <w:tc>
          <w:tcPr>
            <w:tcW w:w="2513" w:type="dxa"/>
            <w:tcBorders>
              <w:top w:val="single" w:sz="4" w:space="0" w:color="auto"/>
              <w:bottom w:val="single" w:sz="4" w:space="0" w:color="auto"/>
            </w:tcBorders>
            <w:vAlign w:val="bottom"/>
          </w:tcPr>
          <w:p w14:paraId="32B6D63F" w14:textId="39A66BAB" w:rsidR="00811B4D" w:rsidRPr="00AD6E27" w:rsidRDefault="00811B4D" w:rsidP="00DE78B3">
            <w:pPr>
              <w:pStyle w:val="ParaText"/>
              <w:keepNext/>
              <w:keepLines/>
              <w:spacing w:before="0" w:after="0" w:line="240" w:lineRule="auto"/>
              <w:jc w:val="center"/>
              <w:rPr>
                <w:b/>
                <w:iCs/>
                <w:sz w:val="22"/>
                <w:szCs w:val="22"/>
                <w:lang w:val="fr-FR"/>
              </w:rPr>
            </w:pPr>
            <w:r w:rsidRPr="00AD6E27">
              <w:rPr>
                <w:b/>
                <w:bCs/>
                <w:iCs/>
                <w:sz w:val="22"/>
                <w:szCs w:val="22"/>
                <w:lang w:val="fr-FR"/>
              </w:rPr>
              <w:t>V</w:t>
            </w:r>
            <w:r w:rsidR="00316676" w:rsidRPr="00AD6E27">
              <w:rPr>
                <w:b/>
                <w:bCs/>
                <w:iCs/>
                <w:sz w:val="22"/>
                <w:szCs w:val="22"/>
                <w:lang w:val="fr-FR"/>
              </w:rPr>
              <w:t>axchora</w:t>
            </w:r>
            <w:r w:rsidRPr="00AD6E27">
              <w:rPr>
                <w:iCs/>
                <w:sz w:val="22"/>
                <w:szCs w:val="22"/>
                <w:lang w:val="fr-FR"/>
              </w:rPr>
              <w:br/>
              <w:t>N</w:t>
            </w:r>
            <w:r w:rsidRPr="00AD6E27">
              <w:rPr>
                <w:sz w:val="22"/>
                <w:szCs w:val="22"/>
                <w:vertAlign w:val="superscript"/>
                <w:lang w:val="fr-FR"/>
              </w:rPr>
              <w:t>b</w:t>
            </w:r>
          </w:p>
        </w:tc>
        <w:tc>
          <w:tcPr>
            <w:tcW w:w="3118" w:type="dxa"/>
            <w:tcBorders>
              <w:top w:val="single" w:sz="4" w:space="0" w:color="auto"/>
              <w:bottom w:val="single" w:sz="4" w:space="0" w:color="auto"/>
              <w:right w:val="single" w:sz="4" w:space="0" w:color="auto"/>
            </w:tcBorders>
            <w:vAlign w:val="bottom"/>
          </w:tcPr>
          <w:p w14:paraId="2B460EA6" w14:textId="407D5A29" w:rsidR="00811B4D" w:rsidRPr="00AD6E27" w:rsidRDefault="00811B4D" w:rsidP="00DE78B3">
            <w:pPr>
              <w:pStyle w:val="ParaText"/>
              <w:keepNext/>
              <w:keepLines/>
              <w:spacing w:before="0" w:after="0" w:line="240" w:lineRule="auto"/>
              <w:jc w:val="center"/>
              <w:rPr>
                <w:b/>
                <w:iCs/>
                <w:sz w:val="22"/>
                <w:szCs w:val="22"/>
                <w:lang w:val="pt-PT"/>
              </w:rPr>
            </w:pPr>
            <w:r w:rsidRPr="00AD6E27">
              <w:rPr>
                <w:b/>
                <w:iCs/>
                <w:sz w:val="22"/>
                <w:szCs w:val="22"/>
                <w:lang w:val="pt-PT"/>
              </w:rPr>
              <w:t>V</w:t>
            </w:r>
            <w:r w:rsidR="00316676" w:rsidRPr="00AD6E27">
              <w:rPr>
                <w:b/>
                <w:iCs/>
                <w:sz w:val="22"/>
                <w:szCs w:val="22"/>
                <w:lang w:val="pt-PT"/>
              </w:rPr>
              <w:t>axchora</w:t>
            </w:r>
            <w:r w:rsidRPr="00AD6E27">
              <w:rPr>
                <w:b/>
                <w:iCs/>
                <w:sz w:val="22"/>
                <w:szCs w:val="22"/>
                <w:lang w:val="pt-PT"/>
              </w:rPr>
              <w:br/>
              <w:t>S</w:t>
            </w:r>
            <w:r w:rsidR="00ED00CC" w:rsidRPr="00AD6E27">
              <w:rPr>
                <w:b/>
                <w:iCs/>
                <w:sz w:val="22"/>
                <w:szCs w:val="22"/>
                <w:lang w:val="pt-PT"/>
              </w:rPr>
              <w:t>é</w:t>
            </w:r>
            <w:r w:rsidRPr="00AD6E27">
              <w:rPr>
                <w:b/>
                <w:iCs/>
                <w:sz w:val="22"/>
                <w:szCs w:val="22"/>
                <w:lang w:val="pt-PT"/>
              </w:rPr>
              <w:t>roconversion</w:t>
            </w:r>
            <w:r w:rsidRPr="00AD6E27">
              <w:rPr>
                <w:bCs/>
                <w:sz w:val="22"/>
                <w:szCs w:val="22"/>
                <w:vertAlign w:val="superscript"/>
                <w:lang w:val="pt-PT"/>
              </w:rPr>
              <w:t>a</w:t>
            </w:r>
            <w:r w:rsidRPr="00AD6E27">
              <w:rPr>
                <w:bCs/>
                <w:iCs/>
                <w:sz w:val="22"/>
                <w:szCs w:val="22"/>
                <w:lang w:val="pt-PT"/>
              </w:rPr>
              <w:br/>
            </w:r>
            <w:r w:rsidRPr="00AD6E27">
              <w:rPr>
                <w:iCs/>
                <w:sz w:val="22"/>
                <w:szCs w:val="22"/>
                <w:lang w:val="pt-PT"/>
              </w:rPr>
              <w:t>%</w:t>
            </w:r>
            <w:r w:rsidRPr="00AD6E27">
              <w:rPr>
                <w:iCs/>
                <w:sz w:val="22"/>
                <w:szCs w:val="22"/>
                <w:lang w:val="pt-PT"/>
              </w:rPr>
              <w:br/>
              <w:t>[</w:t>
            </w:r>
            <w:r w:rsidR="00AB1D0B" w:rsidRPr="00AD6E27">
              <w:rPr>
                <w:iCs/>
                <w:sz w:val="22"/>
                <w:szCs w:val="22"/>
                <w:lang w:val="pt-PT"/>
              </w:rPr>
              <w:t xml:space="preserve">IC à </w:t>
            </w:r>
            <w:r w:rsidRPr="00AD6E27">
              <w:rPr>
                <w:iCs/>
                <w:sz w:val="22"/>
                <w:szCs w:val="22"/>
                <w:lang w:val="pt-PT"/>
              </w:rPr>
              <w:t>95</w:t>
            </w:r>
            <w:r w:rsidR="00316676" w:rsidRPr="00AD6E27">
              <w:rPr>
                <w:iCs/>
                <w:sz w:val="22"/>
                <w:szCs w:val="22"/>
                <w:lang w:val="pt-PT"/>
              </w:rPr>
              <w:t> </w:t>
            </w:r>
            <w:r w:rsidRPr="00AD6E27">
              <w:rPr>
                <w:iCs/>
                <w:sz w:val="22"/>
                <w:szCs w:val="22"/>
                <w:lang w:val="pt-PT"/>
              </w:rPr>
              <w:t>%</w:t>
            </w:r>
            <w:r w:rsidRPr="00AD6E27">
              <w:rPr>
                <w:iCs/>
                <w:sz w:val="22"/>
                <w:szCs w:val="22"/>
                <w:vertAlign w:val="superscript"/>
                <w:lang w:val="pt-PT"/>
              </w:rPr>
              <w:t>c</w:t>
            </w:r>
            <w:r w:rsidRPr="00AD6E27">
              <w:rPr>
                <w:iCs/>
                <w:sz w:val="22"/>
                <w:szCs w:val="22"/>
                <w:lang w:val="pt-PT"/>
              </w:rPr>
              <w:t>]</w:t>
            </w:r>
          </w:p>
        </w:tc>
      </w:tr>
      <w:tr w:rsidR="00811B4D" w:rsidRPr="00316676" w14:paraId="5B9546CF" w14:textId="77777777" w:rsidTr="00823C84">
        <w:tc>
          <w:tcPr>
            <w:tcW w:w="2415" w:type="dxa"/>
            <w:tcBorders>
              <w:top w:val="single" w:sz="4" w:space="0" w:color="auto"/>
              <w:left w:val="single" w:sz="4" w:space="0" w:color="auto"/>
            </w:tcBorders>
          </w:tcPr>
          <w:p w14:paraId="30C36647"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10</w:t>
            </w:r>
          </w:p>
        </w:tc>
        <w:tc>
          <w:tcPr>
            <w:tcW w:w="2513" w:type="dxa"/>
            <w:tcBorders>
              <w:top w:val="single" w:sz="4" w:space="0" w:color="auto"/>
            </w:tcBorders>
          </w:tcPr>
          <w:p w14:paraId="53377740"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72</w:t>
            </w:r>
          </w:p>
        </w:tc>
        <w:tc>
          <w:tcPr>
            <w:tcW w:w="3118" w:type="dxa"/>
            <w:tcBorders>
              <w:top w:val="single" w:sz="4" w:space="0" w:color="auto"/>
              <w:right w:val="single" w:sz="4" w:space="0" w:color="auto"/>
            </w:tcBorders>
          </w:tcPr>
          <w:p w14:paraId="11E6BAB4" w14:textId="54C71FCE"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100</w:t>
            </w:r>
            <w:r w:rsidR="00AB1D0B" w:rsidRPr="00AD6E27">
              <w:rPr>
                <w:iCs/>
                <w:sz w:val="22"/>
                <w:szCs w:val="22"/>
                <w:lang w:val="fr-FR"/>
              </w:rPr>
              <w:t>,</w:t>
            </w:r>
            <w:r w:rsidRPr="00AD6E27">
              <w:rPr>
                <w:iCs/>
                <w:sz w:val="22"/>
                <w:szCs w:val="22"/>
                <w:lang w:val="fr-FR"/>
              </w:rPr>
              <w:t>0</w:t>
            </w:r>
            <w:r w:rsidR="00316676" w:rsidRPr="00AD6E27">
              <w:rPr>
                <w:iCs/>
                <w:sz w:val="22"/>
                <w:szCs w:val="22"/>
                <w:lang w:val="fr-FR"/>
              </w:rPr>
              <w:t> </w:t>
            </w:r>
            <w:r w:rsidRPr="00AD6E27">
              <w:rPr>
                <w:iCs/>
                <w:sz w:val="22"/>
                <w:szCs w:val="22"/>
                <w:lang w:val="fr-FR"/>
              </w:rPr>
              <w:t>%</w:t>
            </w:r>
            <w:r w:rsidRPr="00AD6E27">
              <w:rPr>
                <w:iCs/>
                <w:sz w:val="22"/>
                <w:szCs w:val="22"/>
                <w:lang w:val="fr-FR"/>
              </w:rPr>
              <w:br/>
              <w:t>[94</w:t>
            </w:r>
            <w:r w:rsidR="00AB1D0B" w:rsidRPr="00AD6E27">
              <w:rPr>
                <w:iCs/>
                <w:sz w:val="22"/>
                <w:szCs w:val="22"/>
                <w:lang w:val="fr-FR"/>
              </w:rPr>
              <w:t>,</w:t>
            </w:r>
            <w:r w:rsidRPr="00AD6E27">
              <w:rPr>
                <w:iCs/>
                <w:sz w:val="22"/>
                <w:szCs w:val="22"/>
                <w:lang w:val="fr-FR"/>
              </w:rPr>
              <w:t>9</w:t>
            </w:r>
            <w:r w:rsidR="00316676" w:rsidRPr="00AD6E27">
              <w:rPr>
                <w:iCs/>
                <w:sz w:val="22"/>
                <w:szCs w:val="22"/>
                <w:lang w:val="fr-FR"/>
              </w:rPr>
              <w:t> </w:t>
            </w:r>
            <w:r w:rsidRPr="00AD6E27">
              <w:rPr>
                <w:iCs/>
                <w:sz w:val="22"/>
                <w:szCs w:val="22"/>
                <w:lang w:val="fr-FR"/>
              </w:rPr>
              <w:t>%, 100</w:t>
            </w:r>
            <w:r w:rsidR="00AB1D0B" w:rsidRPr="00AD6E27">
              <w:rPr>
                <w:iCs/>
                <w:sz w:val="22"/>
                <w:szCs w:val="22"/>
                <w:lang w:val="fr-FR"/>
              </w:rPr>
              <w:t>,</w:t>
            </w:r>
            <w:r w:rsidRPr="00AD6E27">
              <w:rPr>
                <w:iCs/>
                <w:sz w:val="22"/>
                <w:szCs w:val="22"/>
                <w:lang w:val="fr-FR"/>
              </w:rPr>
              <w:t>0</w:t>
            </w:r>
            <w:r w:rsidR="00316676" w:rsidRPr="00AD6E27">
              <w:rPr>
                <w:iCs/>
                <w:sz w:val="22"/>
                <w:szCs w:val="22"/>
                <w:lang w:val="fr-FR"/>
              </w:rPr>
              <w:t> </w:t>
            </w:r>
            <w:r w:rsidRPr="00AD6E27">
              <w:rPr>
                <w:iCs/>
                <w:sz w:val="22"/>
                <w:szCs w:val="22"/>
                <w:lang w:val="fr-FR"/>
              </w:rPr>
              <w:t>%]</w:t>
            </w:r>
          </w:p>
        </w:tc>
      </w:tr>
      <w:tr w:rsidR="00811B4D" w:rsidRPr="00316676" w14:paraId="4AD1210E" w14:textId="77777777" w:rsidTr="00823C84">
        <w:tc>
          <w:tcPr>
            <w:tcW w:w="2415" w:type="dxa"/>
            <w:tcBorders>
              <w:left w:val="single" w:sz="4" w:space="0" w:color="auto"/>
            </w:tcBorders>
          </w:tcPr>
          <w:p w14:paraId="08CA4E9E"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28</w:t>
            </w:r>
          </w:p>
        </w:tc>
        <w:tc>
          <w:tcPr>
            <w:tcW w:w="2513" w:type="dxa"/>
          </w:tcPr>
          <w:p w14:paraId="5436A797"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72</w:t>
            </w:r>
          </w:p>
        </w:tc>
        <w:tc>
          <w:tcPr>
            <w:tcW w:w="3118" w:type="dxa"/>
            <w:tcBorders>
              <w:right w:val="single" w:sz="4" w:space="0" w:color="auto"/>
            </w:tcBorders>
          </w:tcPr>
          <w:p w14:paraId="4FC81B6E" w14:textId="358EFF2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100</w:t>
            </w:r>
            <w:r w:rsidR="00AB1D0B" w:rsidRPr="00AD6E27">
              <w:rPr>
                <w:iCs/>
                <w:sz w:val="22"/>
                <w:szCs w:val="22"/>
                <w:lang w:val="fr-FR"/>
              </w:rPr>
              <w:t>,</w:t>
            </w:r>
            <w:r w:rsidRPr="00AD6E27">
              <w:rPr>
                <w:iCs/>
                <w:sz w:val="22"/>
                <w:szCs w:val="22"/>
                <w:lang w:val="fr-FR"/>
              </w:rPr>
              <w:t>0</w:t>
            </w:r>
            <w:r w:rsidR="00316676" w:rsidRPr="00AD6E27">
              <w:rPr>
                <w:iCs/>
                <w:sz w:val="22"/>
                <w:szCs w:val="22"/>
                <w:lang w:val="fr-FR"/>
              </w:rPr>
              <w:t> </w:t>
            </w:r>
            <w:r w:rsidRPr="00AD6E27">
              <w:rPr>
                <w:iCs/>
                <w:sz w:val="22"/>
                <w:szCs w:val="22"/>
                <w:lang w:val="fr-FR"/>
              </w:rPr>
              <w:t>%</w:t>
            </w:r>
            <w:r w:rsidRPr="00AD6E27">
              <w:rPr>
                <w:iCs/>
                <w:sz w:val="22"/>
                <w:szCs w:val="22"/>
                <w:lang w:val="fr-FR"/>
              </w:rPr>
              <w:br/>
              <w:t>[94</w:t>
            </w:r>
            <w:r w:rsidR="00AB1D0B" w:rsidRPr="00AD6E27">
              <w:rPr>
                <w:iCs/>
                <w:sz w:val="22"/>
                <w:szCs w:val="22"/>
                <w:lang w:val="fr-FR"/>
              </w:rPr>
              <w:t>,</w:t>
            </w:r>
            <w:r w:rsidRPr="00AD6E27">
              <w:rPr>
                <w:iCs/>
                <w:sz w:val="22"/>
                <w:szCs w:val="22"/>
                <w:lang w:val="fr-FR"/>
              </w:rPr>
              <w:t>9</w:t>
            </w:r>
            <w:r w:rsidR="00316676" w:rsidRPr="00AD6E27">
              <w:rPr>
                <w:iCs/>
                <w:sz w:val="22"/>
                <w:szCs w:val="22"/>
                <w:lang w:val="fr-FR"/>
              </w:rPr>
              <w:t> </w:t>
            </w:r>
            <w:r w:rsidRPr="00AD6E27">
              <w:rPr>
                <w:iCs/>
                <w:sz w:val="22"/>
                <w:szCs w:val="22"/>
                <w:lang w:val="fr-FR"/>
              </w:rPr>
              <w:t>%, 100</w:t>
            </w:r>
            <w:r w:rsidR="00AB1D0B" w:rsidRPr="00AD6E27">
              <w:rPr>
                <w:iCs/>
                <w:sz w:val="22"/>
                <w:szCs w:val="22"/>
                <w:lang w:val="fr-FR"/>
              </w:rPr>
              <w:t>,</w:t>
            </w:r>
            <w:r w:rsidRPr="00AD6E27">
              <w:rPr>
                <w:iCs/>
                <w:sz w:val="22"/>
                <w:szCs w:val="22"/>
                <w:lang w:val="fr-FR"/>
              </w:rPr>
              <w:t>0</w:t>
            </w:r>
            <w:r w:rsidR="00316676" w:rsidRPr="00AD6E27">
              <w:rPr>
                <w:iCs/>
                <w:sz w:val="22"/>
                <w:szCs w:val="22"/>
                <w:lang w:val="fr-FR"/>
              </w:rPr>
              <w:t> </w:t>
            </w:r>
            <w:r w:rsidRPr="00AD6E27">
              <w:rPr>
                <w:iCs/>
                <w:sz w:val="22"/>
                <w:szCs w:val="22"/>
                <w:lang w:val="fr-FR"/>
              </w:rPr>
              <w:t>%]</w:t>
            </w:r>
          </w:p>
        </w:tc>
      </w:tr>
      <w:tr w:rsidR="00811B4D" w:rsidRPr="00316676" w14:paraId="4797C49C" w14:textId="77777777" w:rsidTr="00823C84">
        <w:tc>
          <w:tcPr>
            <w:tcW w:w="2415" w:type="dxa"/>
            <w:tcBorders>
              <w:left w:val="single" w:sz="4" w:space="0" w:color="auto"/>
            </w:tcBorders>
          </w:tcPr>
          <w:p w14:paraId="53EDE49C"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90</w:t>
            </w:r>
          </w:p>
        </w:tc>
        <w:tc>
          <w:tcPr>
            <w:tcW w:w="2513" w:type="dxa"/>
          </w:tcPr>
          <w:p w14:paraId="68681C4C"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72</w:t>
            </w:r>
          </w:p>
        </w:tc>
        <w:tc>
          <w:tcPr>
            <w:tcW w:w="3118" w:type="dxa"/>
            <w:tcBorders>
              <w:right w:val="single" w:sz="4" w:space="0" w:color="auto"/>
            </w:tcBorders>
          </w:tcPr>
          <w:p w14:paraId="7D127176" w14:textId="6459E5E4"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88</w:t>
            </w:r>
            <w:r w:rsidR="00AB1D0B" w:rsidRPr="00AD6E27">
              <w:rPr>
                <w:iCs/>
                <w:sz w:val="22"/>
                <w:szCs w:val="22"/>
                <w:lang w:val="fr-FR"/>
              </w:rPr>
              <w:t>,</w:t>
            </w:r>
            <w:r w:rsidRPr="00AD6E27">
              <w:rPr>
                <w:iCs/>
                <w:sz w:val="22"/>
                <w:szCs w:val="22"/>
                <w:lang w:val="fr-FR"/>
              </w:rPr>
              <w:t>9</w:t>
            </w:r>
            <w:r w:rsidR="00316676" w:rsidRPr="00AD6E27">
              <w:rPr>
                <w:iCs/>
                <w:sz w:val="22"/>
                <w:szCs w:val="22"/>
                <w:lang w:val="fr-FR"/>
              </w:rPr>
              <w:t> </w:t>
            </w:r>
            <w:r w:rsidRPr="00AD6E27">
              <w:rPr>
                <w:iCs/>
                <w:sz w:val="22"/>
                <w:szCs w:val="22"/>
                <w:lang w:val="fr-FR"/>
              </w:rPr>
              <w:t>%</w:t>
            </w:r>
            <w:r w:rsidRPr="00AD6E27">
              <w:rPr>
                <w:iCs/>
                <w:sz w:val="22"/>
                <w:szCs w:val="22"/>
                <w:lang w:val="fr-FR"/>
              </w:rPr>
              <w:br/>
              <w:t>[79</w:t>
            </w:r>
            <w:r w:rsidR="00AB1D0B" w:rsidRPr="00AD6E27">
              <w:rPr>
                <w:iCs/>
                <w:sz w:val="22"/>
                <w:szCs w:val="22"/>
                <w:lang w:val="fr-FR"/>
              </w:rPr>
              <w:t>,</w:t>
            </w:r>
            <w:r w:rsidRPr="00AD6E27">
              <w:rPr>
                <w:iCs/>
                <w:sz w:val="22"/>
                <w:szCs w:val="22"/>
                <w:lang w:val="fr-FR"/>
              </w:rPr>
              <w:t>6</w:t>
            </w:r>
            <w:r w:rsidR="00316676" w:rsidRPr="00AD6E27">
              <w:rPr>
                <w:iCs/>
                <w:sz w:val="22"/>
                <w:szCs w:val="22"/>
                <w:lang w:val="fr-FR"/>
              </w:rPr>
              <w:t> </w:t>
            </w:r>
            <w:r w:rsidRPr="00AD6E27">
              <w:rPr>
                <w:iCs/>
                <w:sz w:val="22"/>
                <w:szCs w:val="22"/>
                <w:lang w:val="fr-FR"/>
              </w:rPr>
              <w:t>%, 94</w:t>
            </w:r>
            <w:r w:rsidR="00AB1D0B" w:rsidRPr="00AD6E27">
              <w:rPr>
                <w:iCs/>
                <w:sz w:val="22"/>
                <w:szCs w:val="22"/>
                <w:lang w:val="fr-FR"/>
              </w:rPr>
              <w:t>,</w:t>
            </w:r>
            <w:r w:rsidRPr="00AD6E27">
              <w:rPr>
                <w:iCs/>
                <w:sz w:val="22"/>
                <w:szCs w:val="22"/>
                <w:lang w:val="fr-FR"/>
              </w:rPr>
              <w:t>3</w:t>
            </w:r>
            <w:r w:rsidR="00316676" w:rsidRPr="00AD6E27">
              <w:rPr>
                <w:iCs/>
                <w:sz w:val="22"/>
                <w:szCs w:val="22"/>
                <w:lang w:val="fr-FR"/>
              </w:rPr>
              <w:t> </w:t>
            </w:r>
            <w:r w:rsidRPr="00AD6E27">
              <w:rPr>
                <w:iCs/>
                <w:sz w:val="22"/>
                <w:szCs w:val="22"/>
                <w:lang w:val="fr-FR"/>
              </w:rPr>
              <w:t>%]</w:t>
            </w:r>
          </w:p>
        </w:tc>
      </w:tr>
      <w:tr w:rsidR="00811B4D" w:rsidRPr="00316676" w14:paraId="520C4FA9" w14:textId="77777777" w:rsidTr="00823C84">
        <w:tc>
          <w:tcPr>
            <w:tcW w:w="2415" w:type="dxa"/>
            <w:tcBorders>
              <w:left w:val="single" w:sz="4" w:space="0" w:color="auto"/>
            </w:tcBorders>
          </w:tcPr>
          <w:p w14:paraId="245E818B"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180</w:t>
            </w:r>
          </w:p>
        </w:tc>
        <w:tc>
          <w:tcPr>
            <w:tcW w:w="2513" w:type="dxa"/>
          </w:tcPr>
          <w:p w14:paraId="589C8869"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71</w:t>
            </w:r>
          </w:p>
        </w:tc>
        <w:tc>
          <w:tcPr>
            <w:tcW w:w="3118" w:type="dxa"/>
            <w:tcBorders>
              <w:right w:val="single" w:sz="4" w:space="0" w:color="auto"/>
            </w:tcBorders>
          </w:tcPr>
          <w:p w14:paraId="082A18F6" w14:textId="6B479B05"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83</w:t>
            </w:r>
            <w:r w:rsidR="00AB1D0B" w:rsidRPr="00AD6E27">
              <w:rPr>
                <w:iCs/>
                <w:sz w:val="22"/>
                <w:szCs w:val="22"/>
                <w:lang w:val="fr-FR"/>
              </w:rPr>
              <w:t>,</w:t>
            </w:r>
            <w:r w:rsidRPr="00AD6E27">
              <w:rPr>
                <w:iCs/>
                <w:sz w:val="22"/>
                <w:szCs w:val="22"/>
                <w:lang w:val="fr-FR"/>
              </w:rPr>
              <w:t>1</w:t>
            </w:r>
            <w:r w:rsidR="00316676" w:rsidRPr="00AD6E27">
              <w:rPr>
                <w:iCs/>
                <w:sz w:val="22"/>
                <w:szCs w:val="22"/>
                <w:lang w:val="fr-FR"/>
              </w:rPr>
              <w:t> </w:t>
            </w:r>
            <w:r w:rsidRPr="00AD6E27">
              <w:rPr>
                <w:iCs/>
                <w:sz w:val="22"/>
                <w:szCs w:val="22"/>
                <w:lang w:val="fr-FR"/>
              </w:rPr>
              <w:t>%</w:t>
            </w:r>
            <w:r w:rsidRPr="00AD6E27">
              <w:rPr>
                <w:iCs/>
                <w:sz w:val="22"/>
                <w:szCs w:val="22"/>
                <w:lang w:val="fr-FR"/>
              </w:rPr>
              <w:br/>
              <w:t>[72</w:t>
            </w:r>
            <w:r w:rsidR="00AB1D0B" w:rsidRPr="00AD6E27">
              <w:rPr>
                <w:iCs/>
                <w:sz w:val="22"/>
                <w:szCs w:val="22"/>
                <w:lang w:val="fr-FR"/>
              </w:rPr>
              <w:t>,</w:t>
            </w:r>
            <w:r w:rsidRPr="00AD6E27">
              <w:rPr>
                <w:iCs/>
                <w:sz w:val="22"/>
                <w:szCs w:val="22"/>
                <w:lang w:val="fr-FR"/>
              </w:rPr>
              <w:t>7</w:t>
            </w:r>
            <w:r w:rsidR="00316676" w:rsidRPr="00AD6E27">
              <w:rPr>
                <w:iCs/>
                <w:sz w:val="22"/>
                <w:szCs w:val="22"/>
                <w:lang w:val="fr-FR"/>
              </w:rPr>
              <w:t> </w:t>
            </w:r>
            <w:r w:rsidRPr="00AD6E27">
              <w:rPr>
                <w:iCs/>
                <w:sz w:val="22"/>
                <w:szCs w:val="22"/>
                <w:lang w:val="fr-FR"/>
              </w:rPr>
              <w:t>%, 90</w:t>
            </w:r>
            <w:r w:rsidR="00AB1D0B" w:rsidRPr="00AD6E27">
              <w:rPr>
                <w:iCs/>
                <w:sz w:val="22"/>
                <w:szCs w:val="22"/>
                <w:lang w:val="fr-FR"/>
              </w:rPr>
              <w:t>,</w:t>
            </w:r>
            <w:r w:rsidRPr="00AD6E27">
              <w:rPr>
                <w:iCs/>
                <w:sz w:val="22"/>
                <w:szCs w:val="22"/>
                <w:lang w:val="fr-FR"/>
              </w:rPr>
              <w:t>1</w:t>
            </w:r>
            <w:r w:rsidR="00316676" w:rsidRPr="00AD6E27">
              <w:rPr>
                <w:iCs/>
                <w:sz w:val="22"/>
                <w:szCs w:val="22"/>
                <w:lang w:val="fr-FR"/>
              </w:rPr>
              <w:t> </w:t>
            </w:r>
            <w:r w:rsidRPr="00AD6E27">
              <w:rPr>
                <w:iCs/>
                <w:sz w:val="22"/>
                <w:szCs w:val="22"/>
                <w:lang w:val="fr-FR"/>
              </w:rPr>
              <w:t>%]</w:t>
            </w:r>
          </w:p>
        </w:tc>
      </w:tr>
      <w:tr w:rsidR="00811B4D" w:rsidRPr="00316676" w14:paraId="2FD73D9F" w14:textId="77777777" w:rsidTr="00823C84">
        <w:tc>
          <w:tcPr>
            <w:tcW w:w="2415" w:type="dxa"/>
            <w:tcBorders>
              <w:left w:val="single" w:sz="4" w:space="0" w:color="auto"/>
            </w:tcBorders>
          </w:tcPr>
          <w:p w14:paraId="3D58EC5F"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364</w:t>
            </w:r>
          </w:p>
        </w:tc>
        <w:tc>
          <w:tcPr>
            <w:tcW w:w="2513" w:type="dxa"/>
          </w:tcPr>
          <w:p w14:paraId="1770DA85"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70</w:t>
            </w:r>
          </w:p>
        </w:tc>
        <w:tc>
          <w:tcPr>
            <w:tcW w:w="3118" w:type="dxa"/>
            <w:tcBorders>
              <w:right w:val="single" w:sz="4" w:space="0" w:color="auto"/>
            </w:tcBorders>
          </w:tcPr>
          <w:p w14:paraId="5F7BEA45" w14:textId="465913D6"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68</w:t>
            </w:r>
            <w:r w:rsidR="00AB1D0B" w:rsidRPr="00AD6E27">
              <w:rPr>
                <w:iCs/>
                <w:sz w:val="22"/>
                <w:szCs w:val="22"/>
                <w:lang w:val="fr-FR"/>
              </w:rPr>
              <w:t>,</w:t>
            </w:r>
            <w:r w:rsidRPr="00AD6E27">
              <w:rPr>
                <w:iCs/>
                <w:sz w:val="22"/>
                <w:szCs w:val="22"/>
                <w:lang w:val="fr-FR"/>
              </w:rPr>
              <w:t>6</w:t>
            </w:r>
            <w:r w:rsidR="00316676" w:rsidRPr="00AD6E27">
              <w:rPr>
                <w:iCs/>
                <w:sz w:val="22"/>
                <w:szCs w:val="22"/>
                <w:lang w:val="fr-FR"/>
              </w:rPr>
              <w:t> </w:t>
            </w:r>
            <w:r w:rsidRPr="00AD6E27">
              <w:rPr>
                <w:iCs/>
                <w:sz w:val="22"/>
                <w:szCs w:val="22"/>
                <w:lang w:val="fr-FR"/>
              </w:rPr>
              <w:t>%</w:t>
            </w:r>
            <w:r w:rsidRPr="00AD6E27">
              <w:rPr>
                <w:iCs/>
                <w:sz w:val="22"/>
                <w:szCs w:val="22"/>
                <w:lang w:val="fr-FR"/>
              </w:rPr>
              <w:br/>
              <w:t>[57</w:t>
            </w:r>
            <w:r w:rsidR="00AB1D0B" w:rsidRPr="00AD6E27">
              <w:rPr>
                <w:iCs/>
                <w:sz w:val="22"/>
                <w:szCs w:val="22"/>
                <w:lang w:val="fr-FR"/>
              </w:rPr>
              <w:t>,</w:t>
            </w:r>
            <w:r w:rsidRPr="00AD6E27">
              <w:rPr>
                <w:iCs/>
                <w:sz w:val="22"/>
                <w:szCs w:val="22"/>
                <w:lang w:val="fr-FR"/>
              </w:rPr>
              <w:t>0</w:t>
            </w:r>
            <w:r w:rsidR="00316676" w:rsidRPr="00AD6E27">
              <w:rPr>
                <w:iCs/>
                <w:sz w:val="22"/>
                <w:szCs w:val="22"/>
                <w:lang w:val="fr-FR"/>
              </w:rPr>
              <w:t> </w:t>
            </w:r>
            <w:r w:rsidRPr="00AD6E27">
              <w:rPr>
                <w:iCs/>
                <w:sz w:val="22"/>
                <w:szCs w:val="22"/>
                <w:lang w:val="fr-FR"/>
              </w:rPr>
              <w:t>%, 78</w:t>
            </w:r>
            <w:r w:rsidR="00AB1D0B" w:rsidRPr="00AD6E27">
              <w:rPr>
                <w:iCs/>
                <w:sz w:val="22"/>
                <w:szCs w:val="22"/>
                <w:lang w:val="fr-FR"/>
              </w:rPr>
              <w:t>,</w:t>
            </w:r>
            <w:r w:rsidRPr="00AD6E27">
              <w:rPr>
                <w:iCs/>
                <w:sz w:val="22"/>
                <w:szCs w:val="22"/>
                <w:lang w:val="fr-FR"/>
              </w:rPr>
              <w:t>2</w:t>
            </w:r>
            <w:r w:rsidR="00316676" w:rsidRPr="00AD6E27">
              <w:rPr>
                <w:iCs/>
                <w:sz w:val="22"/>
                <w:szCs w:val="22"/>
                <w:lang w:val="fr-FR"/>
              </w:rPr>
              <w:t> </w:t>
            </w:r>
            <w:r w:rsidRPr="00AD6E27">
              <w:rPr>
                <w:iCs/>
                <w:sz w:val="22"/>
                <w:szCs w:val="22"/>
                <w:lang w:val="fr-FR"/>
              </w:rPr>
              <w:t>%]</w:t>
            </w:r>
          </w:p>
        </w:tc>
      </w:tr>
      <w:tr w:rsidR="00811B4D" w:rsidRPr="00316676" w14:paraId="095883E0" w14:textId="77777777" w:rsidTr="00823C84">
        <w:tc>
          <w:tcPr>
            <w:tcW w:w="2415" w:type="dxa"/>
            <w:tcBorders>
              <w:left w:val="single" w:sz="4" w:space="0" w:color="auto"/>
            </w:tcBorders>
          </w:tcPr>
          <w:p w14:paraId="6F63CD75"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546</w:t>
            </w:r>
          </w:p>
        </w:tc>
        <w:tc>
          <w:tcPr>
            <w:tcW w:w="2513" w:type="dxa"/>
          </w:tcPr>
          <w:p w14:paraId="62CDF365"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67</w:t>
            </w:r>
          </w:p>
        </w:tc>
        <w:tc>
          <w:tcPr>
            <w:tcW w:w="3118" w:type="dxa"/>
            <w:tcBorders>
              <w:right w:val="single" w:sz="4" w:space="0" w:color="auto"/>
            </w:tcBorders>
          </w:tcPr>
          <w:p w14:paraId="11FF4721" w14:textId="1B6FF1EF"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73</w:t>
            </w:r>
            <w:r w:rsidR="00AB1D0B" w:rsidRPr="00AD6E27">
              <w:rPr>
                <w:iCs/>
                <w:sz w:val="22"/>
                <w:szCs w:val="22"/>
                <w:lang w:val="fr-FR"/>
              </w:rPr>
              <w:t>,</w:t>
            </w:r>
            <w:r w:rsidRPr="00AD6E27">
              <w:rPr>
                <w:iCs/>
                <w:sz w:val="22"/>
                <w:szCs w:val="22"/>
                <w:lang w:val="fr-FR"/>
              </w:rPr>
              <w:t>1</w:t>
            </w:r>
            <w:r w:rsidR="00316676" w:rsidRPr="00AD6E27">
              <w:rPr>
                <w:iCs/>
                <w:sz w:val="22"/>
                <w:szCs w:val="22"/>
                <w:lang w:val="fr-FR"/>
              </w:rPr>
              <w:t> </w:t>
            </w:r>
            <w:r w:rsidRPr="00AD6E27">
              <w:rPr>
                <w:iCs/>
                <w:sz w:val="22"/>
                <w:szCs w:val="22"/>
                <w:lang w:val="fr-FR"/>
              </w:rPr>
              <w:t>%</w:t>
            </w:r>
            <w:r w:rsidRPr="00AD6E27">
              <w:rPr>
                <w:iCs/>
                <w:sz w:val="22"/>
                <w:szCs w:val="22"/>
                <w:lang w:val="fr-FR"/>
              </w:rPr>
              <w:br/>
              <w:t>[61</w:t>
            </w:r>
            <w:r w:rsidR="00AB1D0B" w:rsidRPr="00AD6E27">
              <w:rPr>
                <w:iCs/>
                <w:sz w:val="22"/>
                <w:szCs w:val="22"/>
                <w:lang w:val="fr-FR"/>
              </w:rPr>
              <w:t>,</w:t>
            </w:r>
            <w:r w:rsidRPr="00AD6E27">
              <w:rPr>
                <w:iCs/>
                <w:sz w:val="22"/>
                <w:szCs w:val="22"/>
                <w:lang w:val="fr-FR"/>
              </w:rPr>
              <w:t>5</w:t>
            </w:r>
            <w:r w:rsidR="00316676" w:rsidRPr="00AD6E27">
              <w:rPr>
                <w:iCs/>
                <w:sz w:val="22"/>
                <w:szCs w:val="22"/>
                <w:lang w:val="fr-FR"/>
              </w:rPr>
              <w:t> </w:t>
            </w:r>
            <w:r w:rsidRPr="00AD6E27">
              <w:rPr>
                <w:iCs/>
                <w:sz w:val="22"/>
                <w:szCs w:val="22"/>
                <w:lang w:val="fr-FR"/>
              </w:rPr>
              <w:t>%, 82</w:t>
            </w:r>
            <w:r w:rsidR="00AB1D0B" w:rsidRPr="00AD6E27">
              <w:rPr>
                <w:iCs/>
                <w:sz w:val="22"/>
                <w:szCs w:val="22"/>
                <w:lang w:val="fr-FR"/>
              </w:rPr>
              <w:t>,</w:t>
            </w:r>
            <w:r w:rsidRPr="00AD6E27">
              <w:rPr>
                <w:iCs/>
                <w:sz w:val="22"/>
                <w:szCs w:val="22"/>
                <w:lang w:val="fr-FR"/>
              </w:rPr>
              <w:t>3</w:t>
            </w:r>
            <w:r w:rsidR="00316676" w:rsidRPr="00AD6E27">
              <w:rPr>
                <w:iCs/>
                <w:sz w:val="22"/>
                <w:szCs w:val="22"/>
                <w:lang w:val="fr-FR"/>
              </w:rPr>
              <w:t> </w:t>
            </w:r>
            <w:r w:rsidRPr="00AD6E27">
              <w:rPr>
                <w:iCs/>
                <w:sz w:val="22"/>
                <w:szCs w:val="22"/>
                <w:lang w:val="fr-FR"/>
              </w:rPr>
              <w:t>%]</w:t>
            </w:r>
          </w:p>
        </w:tc>
      </w:tr>
      <w:tr w:rsidR="00811B4D" w:rsidRPr="00316676" w14:paraId="7DE1E56B" w14:textId="77777777" w:rsidTr="00823C84">
        <w:tc>
          <w:tcPr>
            <w:tcW w:w="2415" w:type="dxa"/>
            <w:tcBorders>
              <w:left w:val="single" w:sz="4" w:space="0" w:color="auto"/>
              <w:bottom w:val="single" w:sz="4" w:space="0" w:color="auto"/>
            </w:tcBorders>
          </w:tcPr>
          <w:p w14:paraId="23C7D569"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729</w:t>
            </w:r>
          </w:p>
        </w:tc>
        <w:tc>
          <w:tcPr>
            <w:tcW w:w="2513" w:type="dxa"/>
            <w:tcBorders>
              <w:bottom w:val="single" w:sz="4" w:space="0" w:color="auto"/>
            </w:tcBorders>
          </w:tcPr>
          <w:p w14:paraId="4452D6FD" w14:textId="77777777"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62</w:t>
            </w:r>
          </w:p>
        </w:tc>
        <w:tc>
          <w:tcPr>
            <w:tcW w:w="3118" w:type="dxa"/>
            <w:tcBorders>
              <w:bottom w:val="single" w:sz="4" w:space="0" w:color="auto"/>
              <w:right w:val="single" w:sz="4" w:space="0" w:color="auto"/>
            </w:tcBorders>
          </w:tcPr>
          <w:p w14:paraId="390E8A71" w14:textId="48636E2C" w:rsidR="00811B4D" w:rsidRPr="00AD6E27" w:rsidRDefault="00811B4D" w:rsidP="00DE78B3">
            <w:pPr>
              <w:pStyle w:val="ParaText"/>
              <w:keepNext/>
              <w:keepLines/>
              <w:spacing w:before="0" w:after="0" w:line="240" w:lineRule="auto"/>
              <w:jc w:val="center"/>
              <w:rPr>
                <w:iCs/>
                <w:sz w:val="22"/>
                <w:szCs w:val="22"/>
                <w:lang w:val="fr-FR"/>
              </w:rPr>
            </w:pPr>
            <w:r w:rsidRPr="00AD6E27">
              <w:rPr>
                <w:iCs/>
                <w:sz w:val="22"/>
                <w:szCs w:val="22"/>
                <w:lang w:val="fr-FR"/>
              </w:rPr>
              <w:t>64</w:t>
            </w:r>
            <w:r w:rsidR="00AB1D0B" w:rsidRPr="00AD6E27">
              <w:rPr>
                <w:iCs/>
                <w:sz w:val="22"/>
                <w:szCs w:val="22"/>
                <w:lang w:val="fr-FR"/>
              </w:rPr>
              <w:t>,</w:t>
            </w:r>
            <w:r w:rsidRPr="00AD6E27">
              <w:rPr>
                <w:iCs/>
                <w:sz w:val="22"/>
                <w:szCs w:val="22"/>
                <w:lang w:val="fr-FR"/>
              </w:rPr>
              <w:t>5</w:t>
            </w:r>
            <w:r w:rsidR="00316676" w:rsidRPr="00AD6E27">
              <w:rPr>
                <w:iCs/>
                <w:sz w:val="22"/>
                <w:szCs w:val="22"/>
                <w:lang w:val="fr-FR"/>
              </w:rPr>
              <w:t> </w:t>
            </w:r>
            <w:r w:rsidRPr="00AD6E27">
              <w:rPr>
                <w:iCs/>
                <w:sz w:val="22"/>
                <w:szCs w:val="22"/>
                <w:lang w:val="fr-FR"/>
              </w:rPr>
              <w:t>%</w:t>
            </w:r>
            <w:r w:rsidRPr="00AD6E27">
              <w:rPr>
                <w:iCs/>
                <w:sz w:val="22"/>
                <w:szCs w:val="22"/>
                <w:lang w:val="fr-FR"/>
              </w:rPr>
              <w:br/>
              <w:t>[52</w:t>
            </w:r>
            <w:r w:rsidR="00AB1D0B" w:rsidRPr="00AD6E27">
              <w:rPr>
                <w:iCs/>
                <w:sz w:val="22"/>
                <w:szCs w:val="22"/>
                <w:lang w:val="fr-FR"/>
              </w:rPr>
              <w:t>,</w:t>
            </w:r>
            <w:r w:rsidRPr="00AD6E27">
              <w:rPr>
                <w:iCs/>
                <w:sz w:val="22"/>
                <w:szCs w:val="22"/>
                <w:lang w:val="fr-FR"/>
              </w:rPr>
              <w:t>1</w:t>
            </w:r>
            <w:r w:rsidR="00316676" w:rsidRPr="00AD6E27">
              <w:rPr>
                <w:iCs/>
                <w:sz w:val="22"/>
                <w:szCs w:val="22"/>
                <w:lang w:val="fr-FR"/>
              </w:rPr>
              <w:t> </w:t>
            </w:r>
            <w:r w:rsidRPr="00AD6E27">
              <w:rPr>
                <w:iCs/>
                <w:sz w:val="22"/>
                <w:szCs w:val="22"/>
                <w:lang w:val="fr-FR"/>
              </w:rPr>
              <w:t>%, 75</w:t>
            </w:r>
            <w:r w:rsidR="00AB1D0B" w:rsidRPr="00AD6E27">
              <w:rPr>
                <w:iCs/>
                <w:sz w:val="22"/>
                <w:szCs w:val="22"/>
                <w:lang w:val="fr-FR"/>
              </w:rPr>
              <w:t>,</w:t>
            </w:r>
            <w:r w:rsidRPr="00AD6E27">
              <w:rPr>
                <w:iCs/>
                <w:sz w:val="22"/>
                <w:szCs w:val="22"/>
                <w:lang w:val="fr-FR"/>
              </w:rPr>
              <w:t>3</w:t>
            </w:r>
            <w:r w:rsidR="00316676" w:rsidRPr="00AD6E27">
              <w:rPr>
                <w:iCs/>
                <w:sz w:val="22"/>
                <w:szCs w:val="22"/>
                <w:lang w:val="fr-FR"/>
              </w:rPr>
              <w:t> </w:t>
            </w:r>
            <w:r w:rsidRPr="00AD6E27">
              <w:rPr>
                <w:iCs/>
                <w:sz w:val="22"/>
                <w:szCs w:val="22"/>
                <w:lang w:val="fr-FR"/>
              </w:rPr>
              <w:t>%]</w:t>
            </w:r>
          </w:p>
        </w:tc>
      </w:tr>
    </w:tbl>
    <w:p w14:paraId="5E2B27F0" w14:textId="77777777" w:rsidR="00515D31" w:rsidRPr="00A3454B" w:rsidRDefault="00515D31" w:rsidP="00DE78B3">
      <w:pPr>
        <w:keepNext/>
        <w:ind w:left="284" w:hanging="284"/>
        <w:rPr>
          <w:sz w:val="20"/>
          <w:szCs w:val="20"/>
        </w:rPr>
      </w:pPr>
      <w:proofErr w:type="gramStart"/>
      <w:r w:rsidRPr="00A3454B">
        <w:rPr>
          <w:sz w:val="20"/>
          <w:szCs w:val="20"/>
          <w:vertAlign w:val="superscript"/>
        </w:rPr>
        <w:t>a</w:t>
      </w:r>
      <w:proofErr w:type="gramEnd"/>
      <w:r w:rsidRPr="00A3454B">
        <w:rPr>
          <w:sz w:val="20"/>
          <w:szCs w:val="20"/>
        </w:rPr>
        <w:tab/>
      </w:r>
      <w:r w:rsidRPr="00CE6ED5">
        <w:rPr>
          <w:sz w:val="20"/>
          <w:szCs w:val="20"/>
        </w:rPr>
        <w:t xml:space="preserve">La séroconversion se définit comme le pourcentage de sujets présentant une multiplication par au moins 4 des titres d’anticorps </w:t>
      </w:r>
      <w:proofErr w:type="spellStart"/>
      <w:r w:rsidRPr="00CE6ED5">
        <w:rPr>
          <w:sz w:val="20"/>
          <w:szCs w:val="20"/>
        </w:rPr>
        <w:t>vibriocides</w:t>
      </w:r>
      <w:proofErr w:type="spellEnd"/>
      <w:r w:rsidRPr="00CE6ED5">
        <w:rPr>
          <w:sz w:val="20"/>
          <w:szCs w:val="20"/>
        </w:rPr>
        <w:t xml:space="preserve"> après la vaccination par rapport aux valeurs initiales</w:t>
      </w:r>
      <w:r w:rsidRPr="00A3454B">
        <w:rPr>
          <w:sz w:val="20"/>
          <w:szCs w:val="20"/>
        </w:rPr>
        <w:t>.</w:t>
      </w:r>
    </w:p>
    <w:p w14:paraId="38A81BF2" w14:textId="77777777" w:rsidR="00515D31" w:rsidRPr="00A3454B" w:rsidRDefault="00515D31" w:rsidP="00DE78B3">
      <w:pPr>
        <w:keepNext/>
        <w:ind w:left="284" w:hanging="284"/>
        <w:rPr>
          <w:sz w:val="20"/>
          <w:szCs w:val="20"/>
        </w:rPr>
      </w:pPr>
      <w:proofErr w:type="gramStart"/>
      <w:r w:rsidRPr="00A3454B">
        <w:rPr>
          <w:sz w:val="20"/>
          <w:szCs w:val="20"/>
          <w:vertAlign w:val="superscript"/>
        </w:rPr>
        <w:t>b</w:t>
      </w:r>
      <w:proofErr w:type="gramEnd"/>
      <w:r w:rsidRPr="00A3454B">
        <w:rPr>
          <w:sz w:val="20"/>
          <w:szCs w:val="20"/>
        </w:rPr>
        <w:tab/>
        <w:t>N</w:t>
      </w:r>
      <w:r w:rsidRPr="00CE6ED5">
        <w:rPr>
          <w:sz w:val="20"/>
          <w:szCs w:val="20"/>
        </w:rPr>
        <w:t> </w:t>
      </w:r>
      <w:r w:rsidRPr="00A3454B">
        <w:rPr>
          <w:sz w:val="20"/>
          <w:szCs w:val="20"/>
        </w:rPr>
        <w:t>=</w:t>
      </w:r>
      <w:r w:rsidRPr="00CE6ED5">
        <w:rPr>
          <w:sz w:val="20"/>
          <w:szCs w:val="20"/>
        </w:rPr>
        <w:t> </w:t>
      </w:r>
      <w:r w:rsidRPr="00A3454B">
        <w:rPr>
          <w:sz w:val="20"/>
          <w:szCs w:val="20"/>
        </w:rPr>
        <w:t xml:space="preserve">nombre de sujets présentant des échantillons analysables dans la population évaluable </w:t>
      </w:r>
      <w:r w:rsidRPr="00CE6ED5">
        <w:rPr>
          <w:sz w:val="20"/>
          <w:szCs w:val="20"/>
        </w:rPr>
        <w:t>en matière d’immunogénicité dans la sous-étude de suivi à long terme</w:t>
      </w:r>
      <w:r w:rsidRPr="00A3454B">
        <w:rPr>
          <w:sz w:val="20"/>
          <w:szCs w:val="20"/>
        </w:rPr>
        <w:t>.</w:t>
      </w:r>
    </w:p>
    <w:p w14:paraId="2444F320" w14:textId="77777777" w:rsidR="00811B4D" w:rsidRPr="00A3454B" w:rsidRDefault="00515D31" w:rsidP="00DE78B3">
      <w:pPr>
        <w:ind w:left="284" w:hanging="284"/>
        <w:rPr>
          <w:sz w:val="20"/>
          <w:szCs w:val="20"/>
        </w:rPr>
      </w:pPr>
      <w:proofErr w:type="gramStart"/>
      <w:r w:rsidRPr="00A3454B">
        <w:rPr>
          <w:sz w:val="20"/>
          <w:szCs w:val="20"/>
          <w:vertAlign w:val="superscript"/>
        </w:rPr>
        <w:t>c</w:t>
      </w:r>
      <w:proofErr w:type="gramEnd"/>
      <w:r w:rsidRPr="00A3454B">
        <w:rPr>
          <w:sz w:val="20"/>
          <w:szCs w:val="20"/>
        </w:rPr>
        <w:tab/>
        <w:t>IC</w:t>
      </w:r>
      <w:r w:rsidRPr="00CE6ED5">
        <w:rPr>
          <w:sz w:val="20"/>
          <w:szCs w:val="20"/>
        </w:rPr>
        <w:t> </w:t>
      </w:r>
      <w:r w:rsidRPr="00A3454B">
        <w:rPr>
          <w:sz w:val="20"/>
          <w:szCs w:val="20"/>
        </w:rPr>
        <w:t>=</w:t>
      </w:r>
      <w:r w:rsidRPr="00CE6ED5">
        <w:rPr>
          <w:sz w:val="20"/>
          <w:szCs w:val="20"/>
        </w:rPr>
        <w:t> </w:t>
      </w:r>
      <w:r w:rsidRPr="00A3454B">
        <w:rPr>
          <w:sz w:val="20"/>
          <w:szCs w:val="20"/>
        </w:rPr>
        <w:t>intervalle de confiance.</w:t>
      </w:r>
    </w:p>
    <w:p w14:paraId="042FCECC" w14:textId="77777777" w:rsidR="00811B4D" w:rsidRDefault="00811B4D" w:rsidP="00DE78B3"/>
    <w:p w14:paraId="391D161E" w14:textId="77777777" w:rsidR="009C5AEA" w:rsidRDefault="00F52356" w:rsidP="00DE78B3">
      <w:r>
        <w:t>L’Agence européenne des médicaments a différé l’obligation de soumettre les résultats d’études réalisées avec Vaxchora dans un ou plusieurs sous-groupes de la population pédiatrique dans le cadre de la prévention du choléra (voir rubrique 4.2 pour les informations concernant l’usage pédiatrique).</w:t>
      </w:r>
    </w:p>
    <w:p w14:paraId="2BE6449B" w14:textId="77777777" w:rsidR="009C5AEA" w:rsidRDefault="009C5AEA" w:rsidP="00DE78B3"/>
    <w:p w14:paraId="3BE2C1A1" w14:textId="77777777" w:rsidR="009C5AEA" w:rsidRPr="001A3B7C" w:rsidRDefault="00F52356" w:rsidP="001A3B7C">
      <w:pPr>
        <w:rPr>
          <w:b/>
          <w:bCs/>
        </w:rPr>
      </w:pPr>
      <w:r w:rsidRPr="001A3B7C">
        <w:rPr>
          <w:b/>
          <w:bCs/>
        </w:rPr>
        <w:t>5.2</w:t>
      </w:r>
      <w:r w:rsidRPr="001A3B7C">
        <w:rPr>
          <w:b/>
          <w:bCs/>
        </w:rPr>
        <w:tab/>
        <w:t>Propriétés pharmacocinétiques</w:t>
      </w:r>
    </w:p>
    <w:p w14:paraId="052B16BB" w14:textId="77777777" w:rsidR="009C5AEA" w:rsidRDefault="009C5AEA" w:rsidP="00DE78B3">
      <w:pPr>
        <w:keepNext/>
      </w:pPr>
    </w:p>
    <w:p w14:paraId="6113C438" w14:textId="77777777" w:rsidR="009C5AEA" w:rsidRDefault="00F52356" w:rsidP="00DE78B3">
      <w:r>
        <w:t>Sans objet.</w:t>
      </w:r>
    </w:p>
    <w:p w14:paraId="4E5B92B3" w14:textId="77777777" w:rsidR="009C5AEA" w:rsidRDefault="009C5AEA" w:rsidP="00DE78B3"/>
    <w:p w14:paraId="2A17CE9F" w14:textId="77777777" w:rsidR="009C5AEA" w:rsidRPr="001A3B7C" w:rsidRDefault="00F52356" w:rsidP="001A3B7C">
      <w:pPr>
        <w:rPr>
          <w:b/>
          <w:bCs/>
        </w:rPr>
      </w:pPr>
      <w:r w:rsidRPr="001A3B7C">
        <w:rPr>
          <w:b/>
          <w:bCs/>
        </w:rPr>
        <w:t>5.3</w:t>
      </w:r>
      <w:r w:rsidRPr="001A3B7C">
        <w:rPr>
          <w:b/>
          <w:bCs/>
        </w:rPr>
        <w:tab/>
        <w:t>Données de sécurité préclinique</w:t>
      </w:r>
    </w:p>
    <w:p w14:paraId="6E5E6B52" w14:textId="77777777" w:rsidR="009C5AEA" w:rsidRDefault="009C5AEA" w:rsidP="00DE78B3">
      <w:pPr>
        <w:keepNext/>
      </w:pPr>
    </w:p>
    <w:p w14:paraId="37482685" w14:textId="77777777" w:rsidR="009C5AEA" w:rsidRDefault="00F52356" w:rsidP="00DE78B3">
      <w:r>
        <w:t>Aucune donnée de sécurité préclinique n’est disponible pour le vaccin Vaxchora.</w:t>
      </w:r>
    </w:p>
    <w:p w14:paraId="65FA8E5C" w14:textId="77777777" w:rsidR="009C5AEA" w:rsidRDefault="009C5AEA" w:rsidP="00DE78B3"/>
    <w:p w14:paraId="58345BA7" w14:textId="77777777" w:rsidR="009C5AEA" w:rsidRDefault="009C5AEA" w:rsidP="00DE78B3"/>
    <w:p w14:paraId="6BACF5A6" w14:textId="77777777" w:rsidR="009C5AEA" w:rsidRPr="001A3B7C" w:rsidRDefault="00F52356" w:rsidP="001A3B7C">
      <w:pPr>
        <w:rPr>
          <w:b/>
          <w:bCs/>
        </w:rPr>
      </w:pPr>
      <w:r w:rsidRPr="001A3B7C">
        <w:rPr>
          <w:b/>
          <w:bCs/>
        </w:rPr>
        <w:t>6.</w:t>
      </w:r>
      <w:r w:rsidRPr="001A3B7C">
        <w:rPr>
          <w:b/>
          <w:bCs/>
        </w:rPr>
        <w:tab/>
        <w:t>DONNÉES PHARMACEUTIQUES</w:t>
      </w:r>
    </w:p>
    <w:p w14:paraId="6558D54B" w14:textId="77777777" w:rsidR="009C5AEA" w:rsidRDefault="009C5AEA" w:rsidP="00DE78B3">
      <w:pPr>
        <w:keepNext/>
      </w:pPr>
    </w:p>
    <w:p w14:paraId="1BFB7EFB" w14:textId="77777777" w:rsidR="009C5AEA" w:rsidRPr="001A3B7C" w:rsidRDefault="00F52356" w:rsidP="001A3B7C">
      <w:pPr>
        <w:rPr>
          <w:b/>
          <w:bCs/>
        </w:rPr>
      </w:pPr>
      <w:r w:rsidRPr="001A3B7C">
        <w:rPr>
          <w:b/>
          <w:bCs/>
        </w:rPr>
        <w:t>6.1</w:t>
      </w:r>
      <w:r w:rsidRPr="001A3B7C">
        <w:rPr>
          <w:b/>
          <w:bCs/>
        </w:rPr>
        <w:tab/>
        <w:t>Liste des excipients</w:t>
      </w:r>
    </w:p>
    <w:p w14:paraId="1A4329C5" w14:textId="77777777" w:rsidR="009C5AEA" w:rsidRDefault="009C5AEA" w:rsidP="00DE78B3">
      <w:pPr>
        <w:keepNext/>
      </w:pPr>
    </w:p>
    <w:p w14:paraId="1DA62217" w14:textId="23F8A4F9" w:rsidR="009C5AEA" w:rsidRPr="00AD6E27" w:rsidRDefault="00F52356" w:rsidP="00DE78B3">
      <w:pPr>
        <w:pStyle w:val="HeadingStrongEmphasis"/>
        <w:rPr>
          <w:b w:val="0"/>
          <w:bCs w:val="0"/>
        </w:rPr>
      </w:pPr>
      <w:r w:rsidRPr="00AD6E27">
        <w:rPr>
          <w:b w:val="0"/>
          <w:bCs w:val="0"/>
        </w:rPr>
        <w:t>Sachet</w:t>
      </w:r>
      <w:r w:rsidR="000B05E3">
        <w:rPr>
          <w:b w:val="0"/>
          <w:bCs w:val="0"/>
        </w:rPr>
        <w:t> </w:t>
      </w:r>
      <w:r w:rsidRPr="00AD6E27">
        <w:rPr>
          <w:b w:val="0"/>
          <w:bCs w:val="0"/>
        </w:rPr>
        <w:t>1, solution tampon :</w:t>
      </w:r>
    </w:p>
    <w:p w14:paraId="097696B0" w14:textId="3B22817A" w:rsidR="009C5AEA" w:rsidRDefault="00F52356" w:rsidP="00DE78B3">
      <w:pPr>
        <w:rPr>
          <w:lang w:val="pt-PT"/>
        </w:rPr>
      </w:pPr>
      <w:r>
        <w:rPr>
          <w:lang w:val="pt-PT"/>
        </w:rPr>
        <w:t>Bicarbonate de sodium</w:t>
      </w:r>
    </w:p>
    <w:p w14:paraId="257F989C" w14:textId="77777777" w:rsidR="009C5AEA" w:rsidRDefault="00F52356" w:rsidP="00DE78B3">
      <w:pPr>
        <w:rPr>
          <w:lang w:val="pt-PT"/>
        </w:rPr>
      </w:pPr>
      <w:r>
        <w:rPr>
          <w:lang w:val="pt-PT"/>
        </w:rPr>
        <w:t>Carbonate de soude</w:t>
      </w:r>
    </w:p>
    <w:p w14:paraId="2B0E54C4" w14:textId="77777777" w:rsidR="009C5AEA" w:rsidRDefault="00F52356" w:rsidP="00DE78B3">
      <w:pPr>
        <w:rPr>
          <w:lang w:val="pt-PT"/>
        </w:rPr>
      </w:pPr>
      <w:r>
        <w:rPr>
          <w:lang w:val="pt-PT"/>
        </w:rPr>
        <w:t>Acide ascorbique</w:t>
      </w:r>
    </w:p>
    <w:p w14:paraId="5FD6B09A" w14:textId="77777777" w:rsidR="009C5AEA" w:rsidRDefault="00F52356" w:rsidP="00DE78B3">
      <w:r>
        <w:t>Lactose</w:t>
      </w:r>
    </w:p>
    <w:p w14:paraId="4A41F623" w14:textId="77777777" w:rsidR="009C5AEA" w:rsidRDefault="009C5AEA" w:rsidP="00DE78B3"/>
    <w:p w14:paraId="5F8C6FA9" w14:textId="14DDA247" w:rsidR="009C5AEA" w:rsidRPr="00AD6E27" w:rsidRDefault="00F52356" w:rsidP="00DE78B3">
      <w:pPr>
        <w:pStyle w:val="HeadingStrongEmphasis"/>
        <w:rPr>
          <w:b w:val="0"/>
          <w:bCs w:val="0"/>
        </w:rPr>
      </w:pPr>
      <w:r w:rsidRPr="00AD6E27">
        <w:rPr>
          <w:b w:val="0"/>
          <w:bCs w:val="0"/>
        </w:rPr>
        <w:t>Sachet</w:t>
      </w:r>
      <w:r w:rsidR="000B05E3">
        <w:rPr>
          <w:b w:val="0"/>
          <w:bCs w:val="0"/>
        </w:rPr>
        <w:t> </w:t>
      </w:r>
      <w:r w:rsidRPr="00AD6E27">
        <w:rPr>
          <w:b w:val="0"/>
          <w:bCs w:val="0"/>
        </w:rPr>
        <w:t>2, principe actif :</w:t>
      </w:r>
    </w:p>
    <w:p w14:paraId="29A48328" w14:textId="77777777" w:rsidR="009C5AEA" w:rsidRDefault="00F52356" w:rsidP="00DE78B3">
      <w:r>
        <w:t>Saccharose</w:t>
      </w:r>
    </w:p>
    <w:p w14:paraId="27486A6D" w14:textId="77777777" w:rsidR="009C5AEA" w:rsidRDefault="00F52356" w:rsidP="00DE78B3">
      <w:r>
        <w:t>Caséine hydrolysée</w:t>
      </w:r>
    </w:p>
    <w:p w14:paraId="2027A9B9" w14:textId="77777777" w:rsidR="009C5AEA" w:rsidRDefault="00F52356" w:rsidP="00DE78B3">
      <w:r>
        <w:t>Acide ascorbique</w:t>
      </w:r>
    </w:p>
    <w:p w14:paraId="2CA6D4AE" w14:textId="77777777" w:rsidR="009C5AEA" w:rsidRDefault="00F52356" w:rsidP="00DE78B3">
      <w:r>
        <w:t>Lactose</w:t>
      </w:r>
    </w:p>
    <w:p w14:paraId="1739F313" w14:textId="77777777" w:rsidR="009C5AEA" w:rsidRDefault="009C5AEA" w:rsidP="00DE78B3"/>
    <w:p w14:paraId="252EEDE8" w14:textId="77777777" w:rsidR="009C5AEA" w:rsidRPr="001A3B7C" w:rsidRDefault="00F52356" w:rsidP="001A3B7C">
      <w:pPr>
        <w:rPr>
          <w:b/>
          <w:bCs/>
        </w:rPr>
      </w:pPr>
      <w:r w:rsidRPr="001A3B7C">
        <w:rPr>
          <w:b/>
          <w:bCs/>
        </w:rPr>
        <w:t>6.2</w:t>
      </w:r>
      <w:r w:rsidRPr="001A3B7C">
        <w:rPr>
          <w:b/>
          <w:bCs/>
        </w:rPr>
        <w:tab/>
        <w:t>Incompatibilités</w:t>
      </w:r>
    </w:p>
    <w:p w14:paraId="14699422" w14:textId="77777777" w:rsidR="009C5AEA" w:rsidRDefault="009C5AEA" w:rsidP="00DE78B3">
      <w:pPr>
        <w:keepNext/>
        <w:keepLines/>
      </w:pPr>
    </w:p>
    <w:p w14:paraId="31648E54" w14:textId="77777777" w:rsidR="009C5AEA" w:rsidRDefault="00F52356" w:rsidP="00DE78B3">
      <w:pPr>
        <w:keepNext/>
        <w:keepLines/>
      </w:pPr>
      <w:r>
        <w:t>En l’absence d’études de compatibilité, ce vaccin ne doit pas être mélangé avec d’autres médicaments.</w:t>
      </w:r>
    </w:p>
    <w:p w14:paraId="79B50C45" w14:textId="77777777" w:rsidR="009C5AEA" w:rsidRDefault="009C5AEA" w:rsidP="00DE78B3"/>
    <w:p w14:paraId="31A4B884" w14:textId="77777777" w:rsidR="009C5AEA" w:rsidRPr="001A3B7C" w:rsidRDefault="00F52356" w:rsidP="001A3B7C">
      <w:pPr>
        <w:rPr>
          <w:b/>
          <w:bCs/>
        </w:rPr>
      </w:pPr>
      <w:r w:rsidRPr="001A3B7C">
        <w:rPr>
          <w:b/>
          <w:bCs/>
        </w:rPr>
        <w:t>6.3</w:t>
      </w:r>
      <w:r w:rsidRPr="001A3B7C">
        <w:rPr>
          <w:b/>
          <w:bCs/>
        </w:rPr>
        <w:tab/>
        <w:t>Durée de conservation</w:t>
      </w:r>
    </w:p>
    <w:p w14:paraId="174766C3" w14:textId="77777777" w:rsidR="009C5AEA" w:rsidRDefault="009C5AEA" w:rsidP="00DE78B3">
      <w:pPr>
        <w:keepNext/>
        <w:keepLines/>
      </w:pPr>
    </w:p>
    <w:p w14:paraId="293E1345" w14:textId="65B27ACD" w:rsidR="009C5AEA" w:rsidRDefault="00E37CC2" w:rsidP="00DE78B3">
      <w:pPr>
        <w:keepNext/>
        <w:keepLines/>
      </w:pPr>
      <w:r>
        <w:t>20</w:t>
      </w:r>
      <w:r w:rsidR="00F52356">
        <w:t> mois.</w:t>
      </w:r>
    </w:p>
    <w:p w14:paraId="4D75FC08" w14:textId="77777777" w:rsidR="009C5AEA" w:rsidRDefault="009C5AEA" w:rsidP="00DE78B3"/>
    <w:p w14:paraId="657C67B3" w14:textId="49425F70" w:rsidR="009C5AEA" w:rsidRDefault="00F52356" w:rsidP="00DE78B3">
      <w:r>
        <w:t>Une fois le vaccin reconstitué, la suspension doit être ingérée dans les 15 minutes.</w:t>
      </w:r>
    </w:p>
    <w:p w14:paraId="70A335D6" w14:textId="77777777" w:rsidR="009C5AEA" w:rsidRDefault="009C5AEA" w:rsidP="00DE78B3"/>
    <w:p w14:paraId="40553D97" w14:textId="77777777" w:rsidR="009C5AEA" w:rsidRPr="001A3B7C" w:rsidRDefault="00F52356" w:rsidP="001A3B7C">
      <w:pPr>
        <w:rPr>
          <w:b/>
          <w:bCs/>
        </w:rPr>
      </w:pPr>
      <w:r w:rsidRPr="001A3B7C">
        <w:rPr>
          <w:b/>
          <w:bCs/>
        </w:rPr>
        <w:t>6.4</w:t>
      </w:r>
      <w:r w:rsidRPr="001A3B7C">
        <w:rPr>
          <w:b/>
          <w:bCs/>
        </w:rPr>
        <w:tab/>
        <w:t>Précautions particulières de conservation</w:t>
      </w:r>
    </w:p>
    <w:p w14:paraId="2128A499" w14:textId="77777777" w:rsidR="009C5AEA" w:rsidRDefault="009C5AEA" w:rsidP="00DE78B3">
      <w:pPr>
        <w:keepNext/>
      </w:pPr>
    </w:p>
    <w:p w14:paraId="453B0110" w14:textId="41729ABE" w:rsidR="00335E01" w:rsidRDefault="00335E01" w:rsidP="00DE78B3">
      <w:r w:rsidRPr="00335E01">
        <w:t>À conserver au réfrigérateur (entre 2</w:t>
      </w:r>
      <w:r w:rsidR="00316676">
        <w:t> </w:t>
      </w:r>
      <w:r w:rsidRPr="00335E01">
        <w:t>°C et 8</w:t>
      </w:r>
      <w:r w:rsidR="00316676">
        <w:t> </w:t>
      </w:r>
      <w:r w:rsidRPr="00335E01">
        <w:t>°C).</w:t>
      </w:r>
    </w:p>
    <w:p w14:paraId="26B27452" w14:textId="06FA99F7" w:rsidR="009C5AEA" w:rsidRDefault="00F52356" w:rsidP="00DE78B3">
      <w:r>
        <w:t>À conserver dans l’emballage d’origine</w:t>
      </w:r>
      <w:r w:rsidR="00316676">
        <w:t>, à l’abri de la lumière et de l’humidité</w:t>
      </w:r>
      <w:r>
        <w:t>.</w:t>
      </w:r>
    </w:p>
    <w:p w14:paraId="27254083" w14:textId="7DA83971" w:rsidR="009C5AEA" w:rsidRDefault="00F52356" w:rsidP="00DE78B3">
      <w:r>
        <w:t>Éviter l’exposition à des températures supérieures à 25</w:t>
      </w:r>
      <w:r w:rsidR="00316676">
        <w:t> </w:t>
      </w:r>
      <w:r>
        <w:t>°C.</w:t>
      </w:r>
      <w:r w:rsidR="00316676">
        <w:t xml:space="preserve"> Les données de stabilité indiquent que les composants du vaccin restent stables pendant 12 heures en cas de conservation à une température comprise entre 8 °C et 25 °C. À l’issue de cette période, Vaxchora doit être utilisé immédiatement ou éliminé. Ces données sont fournies aux professionnels de santé uniquement pour information en cas d’écart </w:t>
      </w:r>
      <w:r w:rsidR="00753B04">
        <w:t>temporaire de température.</w:t>
      </w:r>
    </w:p>
    <w:p w14:paraId="4D6DBC9F" w14:textId="07F23F2B" w:rsidR="00753B04" w:rsidRDefault="00753B04" w:rsidP="00DE78B3">
      <w:r>
        <w:t>Pour les conditions de conservation du médicament après reconstitution, voir la rubrique 6.3.</w:t>
      </w:r>
    </w:p>
    <w:p w14:paraId="5B28A972" w14:textId="77777777" w:rsidR="009C5AEA" w:rsidRDefault="009C5AEA" w:rsidP="00DE78B3"/>
    <w:p w14:paraId="41F95BAC" w14:textId="77777777" w:rsidR="009C5AEA" w:rsidRPr="001A3B7C" w:rsidRDefault="00F52356" w:rsidP="001A3B7C">
      <w:pPr>
        <w:rPr>
          <w:b/>
          <w:bCs/>
        </w:rPr>
      </w:pPr>
      <w:r w:rsidRPr="001A3B7C">
        <w:rPr>
          <w:b/>
          <w:bCs/>
        </w:rPr>
        <w:t>6.5</w:t>
      </w:r>
      <w:r w:rsidRPr="001A3B7C">
        <w:rPr>
          <w:b/>
          <w:bCs/>
        </w:rPr>
        <w:tab/>
        <w:t>Nature et contenu de l’emballage extérieur</w:t>
      </w:r>
    </w:p>
    <w:p w14:paraId="163EA67C" w14:textId="77777777" w:rsidR="009C5AEA" w:rsidRDefault="009C5AEA" w:rsidP="00DE78B3">
      <w:pPr>
        <w:keepNext/>
      </w:pPr>
    </w:p>
    <w:p w14:paraId="7C85A415" w14:textId="77777777" w:rsidR="009C5AEA" w:rsidRDefault="00F52356" w:rsidP="00DE78B3">
      <w:r>
        <w:t>Boîte en carton contenant un sachet de principe actif et un sachet de solution tampon.</w:t>
      </w:r>
    </w:p>
    <w:p w14:paraId="2DF4ACF2" w14:textId="4B286839" w:rsidR="009C5AEA" w:rsidRDefault="00F52356" w:rsidP="00DE78B3">
      <w:r>
        <w:t xml:space="preserve">Le sachet comportant le principe actif contient 2 g de poudre pour suspension </w:t>
      </w:r>
      <w:r w:rsidR="002246EA">
        <w:t>buvable</w:t>
      </w:r>
      <w:r>
        <w:t>.</w:t>
      </w:r>
    </w:p>
    <w:p w14:paraId="1E9B885F" w14:textId="77777777" w:rsidR="009C5AEA" w:rsidRDefault="00F52356" w:rsidP="00DE78B3">
      <w:r>
        <w:t>Le sachet de solution tampon contient 4,5 g de poudre effervescente.</w:t>
      </w:r>
    </w:p>
    <w:p w14:paraId="4FCB70CA" w14:textId="77777777" w:rsidR="009C5AEA" w:rsidRDefault="00F52356" w:rsidP="00DE78B3">
      <w:r>
        <w:lastRenderedPageBreak/>
        <w:t>Le sachet comportant le principe actif est conçu à base de feuille à quatre couches contenant une couche extérieure de papier, une couche de polyéthylène basse densité, une couche de feuille d’aluminium et une couche intérieure de polyéthylène basse densité.</w:t>
      </w:r>
    </w:p>
    <w:p w14:paraId="4AB2CBC6" w14:textId="77777777" w:rsidR="009C5AEA" w:rsidRDefault="00F52356" w:rsidP="00DE78B3">
      <w:r>
        <w:t>Le sachet comportant la solution tampon est conçu à base de feuille à trois couches contenant une couche extérieure de papier, une couche intermédiaire de feuille d’aluminium et une couche intérieure de polyéthylène basse densité.</w:t>
      </w:r>
    </w:p>
    <w:p w14:paraId="48405554" w14:textId="77777777" w:rsidR="009C5AEA" w:rsidRDefault="009C5AEA" w:rsidP="00DE78B3"/>
    <w:p w14:paraId="67164EA8" w14:textId="1FF7EE68" w:rsidR="009C5AEA" w:rsidRDefault="00F52356" w:rsidP="00DE78B3">
      <w:r>
        <w:t>Taille de l’emballage : 1 ensemble de 2 sachets.</w:t>
      </w:r>
      <w:r w:rsidR="00E86184">
        <w:t xml:space="preserve"> Une dose est constituée de 2 sachets (1 sachet de principe actif et 1 sachet de solution tampon).</w:t>
      </w:r>
    </w:p>
    <w:p w14:paraId="5DD46662" w14:textId="77777777" w:rsidR="009C5AEA" w:rsidRDefault="009C5AEA" w:rsidP="00DE78B3"/>
    <w:p w14:paraId="3868B843" w14:textId="26F39C67" w:rsidR="009C5AEA" w:rsidRPr="001A3B7C" w:rsidRDefault="00F52356" w:rsidP="001A3B7C">
      <w:pPr>
        <w:rPr>
          <w:b/>
          <w:bCs/>
        </w:rPr>
      </w:pPr>
      <w:r w:rsidRPr="001A3B7C">
        <w:rPr>
          <w:b/>
          <w:bCs/>
        </w:rPr>
        <w:t>6.6</w:t>
      </w:r>
      <w:r w:rsidRPr="001A3B7C">
        <w:rPr>
          <w:b/>
          <w:bCs/>
        </w:rPr>
        <w:tab/>
        <w:t>Précautions particulières d’élimination et manipulation</w:t>
      </w:r>
    </w:p>
    <w:p w14:paraId="2471A314" w14:textId="77777777" w:rsidR="009C5AEA" w:rsidRDefault="009C5AEA" w:rsidP="00DE78B3">
      <w:pPr>
        <w:keepNext/>
      </w:pPr>
    </w:p>
    <w:p w14:paraId="368A0DB5" w14:textId="00485072" w:rsidR="009C5AEA" w:rsidRDefault="00F52356" w:rsidP="00DE78B3">
      <w:r>
        <w:t xml:space="preserve">Ce médicament contient des organismes génétiquement modifiés (OGM). Les médicaments non utilisés </w:t>
      </w:r>
      <w:r w:rsidR="00E86184">
        <w:t xml:space="preserve">ou déchets </w:t>
      </w:r>
      <w:r>
        <w:t>doivent être éliminés conformément aux lignes directrices en vigueur à l’échelle locale en matière de biosécurité.</w:t>
      </w:r>
    </w:p>
    <w:p w14:paraId="693CB19E" w14:textId="77777777" w:rsidR="009C5AEA" w:rsidRDefault="009C5AEA" w:rsidP="00DE78B3"/>
    <w:p w14:paraId="5876E492" w14:textId="6AC3D9FB" w:rsidR="009C5AEA" w:rsidRDefault="00F52356" w:rsidP="00DE78B3">
      <w:r>
        <w:t xml:space="preserve">Pour préparer le vaccin en vue de son administration, sortir les sachets de solution tampon et de </w:t>
      </w:r>
      <w:r w:rsidR="00E160D8">
        <w:t>principe actif</w:t>
      </w:r>
      <w:r>
        <w:t xml:space="preserve"> du réfrigérateur au maximum 12 heures (à 25</w:t>
      </w:r>
      <w:r w:rsidR="00A3285B">
        <w:t> </w:t>
      </w:r>
      <w:r>
        <w:t>°C) avant la reconstitution.</w:t>
      </w:r>
    </w:p>
    <w:p w14:paraId="642B9DA3" w14:textId="0E9DC30E" w:rsidR="009C5AEA" w:rsidRDefault="00F52356" w:rsidP="00DE78B3">
      <w:r>
        <w:t xml:space="preserve">Il est important de mélanger les sachets dans l’ordre décrit. Tout d’abord, mélanger, dans un </w:t>
      </w:r>
      <w:r w:rsidR="00912F02">
        <w:t>verre</w:t>
      </w:r>
      <w:r>
        <w:t>, le contenu du sachet</w:t>
      </w:r>
      <w:r w:rsidR="00E86184">
        <w:t> </w:t>
      </w:r>
      <w:r>
        <w:t>1 de solution tampon (poudre de couleur blanche à blanc cassé) avec 100 </w:t>
      </w:r>
      <w:proofErr w:type="spellStart"/>
      <w:r>
        <w:t>mL</w:t>
      </w:r>
      <w:proofErr w:type="spellEnd"/>
      <w:r>
        <w:t xml:space="preserve"> d’eau </w:t>
      </w:r>
      <w:r w:rsidR="00335E01">
        <w:t>plate</w:t>
      </w:r>
      <w:r w:rsidR="005C0C51">
        <w:t xml:space="preserve"> ou gazeuse</w:t>
      </w:r>
      <w:r>
        <w:t xml:space="preserve"> en bouteille, froide ou à température ambiante (≤ 25</w:t>
      </w:r>
      <w:r w:rsidR="00E86184">
        <w:t> </w:t>
      </w:r>
      <w:r>
        <w:t xml:space="preserve">°C). </w:t>
      </w:r>
      <w:r w:rsidR="00CE6ED5">
        <w:t xml:space="preserve">Pour les enfants âgés de </w:t>
      </w:r>
      <w:r w:rsidR="008F449B">
        <w:t>2</w:t>
      </w:r>
      <w:r w:rsidR="00E86184">
        <w:t> </w:t>
      </w:r>
      <w:r w:rsidR="008F449B">
        <w:t>ans à moins</w:t>
      </w:r>
      <w:r w:rsidR="00CE6ED5">
        <w:t xml:space="preserve"> de 6 </w:t>
      </w:r>
      <w:r w:rsidR="00CE6ED5" w:rsidRPr="00CE6ED5">
        <w:t xml:space="preserve">ans UNIQUEMENT, la </w:t>
      </w:r>
      <w:r w:rsidR="00CE6ED5">
        <w:t>moitié (50 </w:t>
      </w:r>
      <w:proofErr w:type="spellStart"/>
      <w:r w:rsidR="00CE6ED5">
        <w:t>mL</w:t>
      </w:r>
      <w:proofErr w:type="spellEnd"/>
      <w:r w:rsidR="00CE6ED5" w:rsidRPr="00CE6ED5">
        <w:t xml:space="preserve">) de la solution tampon doit ensuite être </w:t>
      </w:r>
      <w:r w:rsidR="00CE6ED5">
        <w:t>éliminée avant de passer à l’</w:t>
      </w:r>
      <w:r w:rsidR="00CE6ED5" w:rsidRPr="00CE6ED5">
        <w:t xml:space="preserve">étape suivante. </w:t>
      </w:r>
      <w:r>
        <w:t>Ajouter ensuite le contenu du sachet</w:t>
      </w:r>
      <w:r w:rsidR="00E86184">
        <w:t> </w:t>
      </w:r>
      <w:r>
        <w:t>2, comportant l</w:t>
      </w:r>
      <w:r w:rsidR="00E160D8">
        <w:t>e</w:t>
      </w:r>
      <w:r>
        <w:t xml:space="preserve"> </w:t>
      </w:r>
      <w:r w:rsidR="00E160D8">
        <w:t>principe actif</w:t>
      </w:r>
      <w:r>
        <w:t xml:space="preserve"> (poudre blanche à beige), et remuer le tout pendant au moins 30 secondes. Le vaccin reconstitué forme une suspension légèrement trouble pouvant contenir des particules blanches. </w:t>
      </w:r>
      <w:r w:rsidR="00CE6ED5">
        <w:t>Le saccharose (jusqu’à 4 g/1 cuillère à café) ou l’</w:t>
      </w:r>
      <w:r w:rsidR="00CE6ED5" w:rsidRPr="00CE6ED5">
        <w:t>é</w:t>
      </w:r>
      <w:r w:rsidR="00CE6ED5">
        <w:t>dulcorant stévia (pas plus de 1 </w:t>
      </w:r>
      <w:r w:rsidR="00CE6ED5" w:rsidRPr="00CE6ED5">
        <w:t>gramme/</w:t>
      </w:r>
      <w:r w:rsidR="00CE6ED5">
        <w:t>¼ </w:t>
      </w:r>
      <w:r w:rsidR="00CE6ED5" w:rsidRPr="00CE6ED5">
        <w:t xml:space="preserve">cuillère à café) peuvent ensuite être incorporés à la suspension si </w:t>
      </w:r>
      <w:r w:rsidR="00CE6ED5">
        <w:t>cela est souhaité. NE PAS ajouter d’</w:t>
      </w:r>
      <w:r w:rsidR="00CE6ED5" w:rsidRPr="00CE6ED5">
        <w:t>autres édulcora</w:t>
      </w:r>
      <w:r w:rsidR="00CE6ED5">
        <w:t>nts car cela pourrait réduire l’</w:t>
      </w:r>
      <w:r w:rsidR="00CE6ED5" w:rsidRPr="00CE6ED5">
        <w:t xml:space="preserve">efficacité du vaccin. </w:t>
      </w:r>
      <w:r>
        <w:t>La dose doit être administrée dans les 15 minutes suivant la reconstitution.</w:t>
      </w:r>
      <w:r w:rsidR="00E86184">
        <w:t xml:space="preserve"> Quelques résidus peuvent rester dans le verre. Il convient de nettoyer le verre avec du liquide vaisselle et de l’eau chaude.</w:t>
      </w:r>
    </w:p>
    <w:p w14:paraId="784B65EE" w14:textId="77777777" w:rsidR="009C5AEA" w:rsidRDefault="009C5AEA" w:rsidP="00DE78B3"/>
    <w:p w14:paraId="7F9254FE" w14:textId="77777777" w:rsidR="009C5AEA" w:rsidRDefault="00F52356" w:rsidP="00DE78B3">
      <w:r>
        <w:t>Remarque : si les sachets ne sont pas reconstitués dans le bon ordre, le vaccin doit être mis au rebut.</w:t>
      </w:r>
    </w:p>
    <w:p w14:paraId="2BD38617" w14:textId="77777777" w:rsidR="009C5AEA" w:rsidRDefault="009C5AEA" w:rsidP="00DE78B3"/>
    <w:p w14:paraId="6CCBF6E5" w14:textId="77777777" w:rsidR="009C5AEA" w:rsidRDefault="009C5AEA" w:rsidP="00DE78B3"/>
    <w:p w14:paraId="67CBA786" w14:textId="77777777" w:rsidR="009C5AEA" w:rsidRPr="00903F7D" w:rsidRDefault="00F52356" w:rsidP="00903F7D">
      <w:pPr>
        <w:rPr>
          <w:b/>
          <w:bCs/>
        </w:rPr>
      </w:pPr>
      <w:r w:rsidRPr="00903F7D">
        <w:rPr>
          <w:b/>
          <w:bCs/>
        </w:rPr>
        <w:t>7.</w:t>
      </w:r>
      <w:r w:rsidRPr="00903F7D">
        <w:rPr>
          <w:b/>
          <w:bCs/>
        </w:rPr>
        <w:tab/>
        <w:t>TITULAIRE DE L’AUTORISATION DE MISE SUR LE MARCHÉ</w:t>
      </w:r>
    </w:p>
    <w:p w14:paraId="0AE6B519" w14:textId="77777777" w:rsidR="009C5AEA" w:rsidRDefault="009C5AEA" w:rsidP="00DE78B3">
      <w:pPr>
        <w:keepNext/>
      </w:pPr>
    </w:p>
    <w:p w14:paraId="12183C2A" w14:textId="77777777" w:rsidR="00153CD8" w:rsidRPr="00153CD8" w:rsidRDefault="00153CD8" w:rsidP="00DE78B3">
      <w:pPr>
        <w:keepNext/>
        <w:rPr>
          <w:lang w:val="en-US"/>
        </w:rPr>
      </w:pPr>
      <w:r w:rsidRPr="00153CD8">
        <w:rPr>
          <w:lang w:val="en-US"/>
        </w:rPr>
        <w:t>Bavarian Nordic A/S</w:t>
      </w:r>
    </w:p>
    <w:p w14:paraId="46C8DE71" w14:textId="77777777" w:rsidR="00153CD8" w:rsidRPr="00153CD8" w:rsidRDefault="00153CD8" w:rsidP="00DE78B3">
      <w:pPr>
        <w:keepNext/>
        <w:rPr>
          <w:lang w:val="en-US"/>
        </w:rPr>
      </w:pPr>
      <w:r w:rsidRPr="00153CD8">
        <w:rPr>
          <w:lang w:val="en-US"/>
        </w:rPr>
        <w:t>Philip Heymans Alle 3</w:t>
      </w:r>
    </w:p>
    <w:p w14:paraId="230A5DF5" w14:textId="77777777" w:rsidR="00153CD8" w:rsidRPr="00153CD8" w:rsidRDefault="00153CD8" w:rsidP="00DE78B3">
      <w:pPr>
        <w:keepNext/>
        <w:rPr>
          <w:lang w:val="fr-CH"/>
        </w:rPr>
      </w:pPr>
      <w:r w:rsidRPr="00153CD8">
        <w:rPr>
          <w:lang w:val="fr-CH"/>
        </w:rPr>
        <w:t xml:space="preserve">DK-2900 </w:t>
      </w:r>
      <w:proofErr w:type="spellStart"/>
      <w:r w:rsidRPr="00153CD8">
        <w:rPr>
          <w:lang w:val="fr-CH"/>
        </w:rPr>
        <w:t>Hellerup</w:t>
      </w:r>
      <w:proofErr w:type="spellEnd"/>
    </w:p>
    <w:p w14:paraId="7DFBEEB3" w14:textId="1879D2A0" w:rsidR="009C5AEA" w:rsidRDefault="00153CD8" w:rsidP="00DE78B3">
      <w:r w:rsidRPr="00153CD8">
        <w:rPr>
          <w:lang w:val="fr-CH"/>
        </w:rPr>
        <w:t>Danemark</w:t>
      </w:r>
    </w:p>
    <w:p w14:paraId="45014F13" w14:textId="77777777" w:rsidR="009C5AEA" w:rsidRDefault="009C5AEA" w:rsidP="00DE78B3"/>
    <w:p w14:paraId="5E436417" w14:textId="77777777" w:rsidR="009C5AEA" w:rsidRPr="00903F7D" w:rsidRDefault="00F52356" w:rsidP="00903F7D">
      <w:pPr>
        <w:rPr>
          <w:b/>
          <w:bCs/>
        </w:rPr>
      </w:pPr>
      <w:r w:rsidRPr="00903F7D">
        <w:rPr>
          <w:b/>
          <w:bCs/>
        </w:rPr>
        <w:t>8.</w:t>
      </w:r>
      <w:r w:rsidRPr="00903F7D">
        <w:rPr>
          <w:b/>
          <w:bCs/>
        </w:rPr>
        <w:tab/>
        <w:t>NUMÉRO D’AUTORISATION DE MISE SUR LE MARCHÉ</w:t>
      </w:r>
    </w:p>
    <w:p w14:paraId="5A63BE8A" w14:textId="77777777" w:rsidR="009C5AEA" w:rsidRDefault="009C5AEA" w:rsidP="00DE78B3">
      <w:pPr>
        <w:keepNext/>
        <w:keepLines/>
      </w:pPr>
    </w:p>
    <w:p w14:paraId="3F919B76" w14:textId="77777777" w:rsidR="009C5AEA" w:rsidRDefault="00F52356" w:rsidP="00DE78B3">
      <w:pPr>
        <w:keepNext/>
        <w:keepLines/>
      </w:pPr>
      <w:r>
        <w:t>EU/1/20/1423/001</w:t>
      </w:r>
    </w:p>
    <w:p w14:paraId="5005C3D9" w14:textId="77777777" w:rsidR="009C5AEA" w:rsidRDefault="009C5AEA" w:rsidP="00DE78B3"/>
    <w:p w14:paraId="08374EB3" w14:textId="77777777" w:rsidR="009C5AEA" w:rsidRDefault="009C5AEA" w:rsidP="00DE78B3"/>
    <w:p w14:paraId="4CD2EDF6" w14:textId="77777777" w:rsidR="009C5AEA" w:rsidRPr="00797A46" w:rsidRDefault="00F52356" w:rsidP="00797A46">
      <w:pPr>
        <w:ind w:left="562" w:hanging="562"/>
        <w:rPr>
          <w:b/>
          <w:bCs/>
        </w:rPr>
      </w:pPr>
      <w:r w:rsidRPr="00797A46">
        <w:rPr>
          <w:b/>
          <w:bCs/>
        </w:rPr>
        <w:t>9.</w:t>
      </w:r>
      <w:r w:rsidRPr="00797A46">
        <w:rPr>
          <w:b/>
          <w:bCs/>
        </w:rPr>
        <w:tab/>
        <w:t>DATE DE PREMIÈRE AUTORISATION/DE RENOUVELLEMENT DE L’AUTORISATION</w:t>
      </w:r>
    </w:p>
    <w:p w14:paraId="52FFD467" w14:textId="77777777" w:rsidR="009C5AEA" w:rsidRDefault="009C5AEA" w:rsidP="00DE78B3">
      <w:pPr>
        <w:keepNext/>
      </w:pPr>
    </w:p>
    <w:p w14:paraId="3B844BAF" w14:textId="1409A12F" w:rsidR="009C5AEA" w:rsidRDefault="00F52356" w:rsidP="00DE78B3">
      <w:r>
        <w:t xml:space="preserve">Date de première autorisation : </w:t>
      </w:r>
      <w:r w:rsidR="00B92745">
        <w:t>01</w:t>
      </w:r>
      <w:r w:rsidR="00A3285B">
        <w:t> </w:t>
      </w:r>
      <w:r w:rsidR="00B92745">
        <w:t>avril</w:t>
      </w:r>
      <w:r w:rsidR="00A3285B">
        <w:t> </w:t>
      </w:r>
      <w:r w:rsidR="00B92745">
        <w:t>2020</w:t>
      </w:r>
    </w:p>
    <w:p w14:paraId="701D5CB5" w14:textId="41A0B6C1" w:rsidR="00E86184" w:rsidRDefault="00E86184" w:rsidP="00DE78B3">
      <w:r>
        <w:t>Date du dernier renouvellement :</w:t>
      </w:r>
      <w:r w:rsidR="00D34197">
        <w:t xml:space="preserve"> </w:t>
      </w:r>
      <w:r w:rsidR="00D34197" w:rsidRPr="00E42AE7">
        <w:t>13</w:t>
      </w:r>
      <w:r w:rsidR="00D34197">
        <w:t> </w:t>
      </w:r>
      <w:r w:rsidR="00D34197" w:rsidRPr="00E42AE7">
        <w:t>janvier</w:t>
      </w:r>
      <w:r w:rsidR="00D34197">
        <w:t> </w:t>
      </w:r>
      <w:r w:rsidR="00D34197" w:rsidRPr="00E42AE7">
        <w:t>2025</w:t>
      </w:r>
    </w:p>
    <w:p w14:paraId="5D58515D" w14:textId="77777777" w:rsidR="009C5AEA" w:rsidRDefault="009C5AEA" w:rsidP="00DE78B3"/>
    <w:p w14:paraId="20363FFE" w14:textId="77777777" w:rsidR="009C5AEA" w:rsidRDefault="009C5AEA" w:rsidP="00DE78B3"/>
    <w:p w14:paraId="5C41B9A1" w14:textId="77777777" w:rsidR="009C5AEA" w:rsidRPr="00903F7D" w:rsidRDefault="00F52356" w:rsidP="00903F7D">
      <w:pPr>
        <w:rPr>
          <w:b/>
          <w:bCs/>
        </w:rPr>
      </w:pPr>
      <w:r w:rsidRPr="00903F7D">
        <w:rPr>
          <w:b/>
          <w:bCs/>
        </w:rPr>
        <w:t>10.</w:t>
      </w:r>
      <w:r w:rsidRPr="00903F7D">
        <w:rPr>
          <w:b/>
          <w:bCs/>
        </w:rPr>
        <w:tab/>
        <w:t>DATE DE MISE À JOUR DU TEXTE</w:t>
      </w:r>
    </w:p>
    <w:p w14:paraId="607B44D4" w14:textId="77777777" w:rsidR="009C5AEA" w:rsidRDefault="009C5AEA" w:rsidP="00DE78B3">
      <w:pPr>
        <w:keepNext/>
      </w:pPr>
    </w:p>
    <w:p w14:paraId="428DF79C" w14:textId="5C6DB6AE" w:rsidR="009135CD" w:rsidRDefault="009135CD" w:rsidP="00DE78B3">
      <w:r w:rsidRPr="009135CD">
        <w:t>23 septembre 2025</w:t>
      </w:r>
    </w:p>
    <w:p w14:paraId="4FE577EB" w14:textId="36465093" w:rsidR="009C5AEA" w:rsidRDefault="00F52356" w:rsidP="00DE78B3">
      <w:r>
        <w:lastRenderedPageBreak/>
        <w:t xml:space="preserve">Des informations détaillées sur ce médicament sont disponibles sur le site Internet de l’Agence européenne des médicaments </w:t>
      </w:r>
      <w:hyperlink r:id="rId10" w:history="1">
        <w:r w:rsidRPr="00AC4A59">
          <w:rPr>
            <w:rStyle w:val="Hyperlink"/>
            <w:rFonts w:eastAsia="Times New Roman"/>
            <w:szCs w:val="20"/>
            <w:lang w:eastAsia="fr-FR" w:bidi="fr-FR"/>
          </w:rPr>
          <w:t>http</w:t>
        </w:r>
        <w:r w:rsidR="00E86184">
          <w:rPr>
            <w:rStyle w:val="Hyperlink"/>
            <w:rFonts w:eastAsia="Times New Roman"/>
            <w:szCs w:val="20"/>
            <w:lang w:eastAsia="fr-FR" w:bidi="fr-FR"/>
          </w:rPr>
          <w:t>s</w:t>
        </w:r>
        <w:r w:rsidRPr="00AC4A59">
          <w:rPr>
            <w:rStyle w:val="Hyperlink"/>
            <w:rFonts w:eastAsia="Times New Roman"/>
            <w:szCs w:val="20"/>
            <w:lang w:eastAsia="fr-FR" w:bidi="fr-FR"/>
          </w:rPr>
          <w:t>://www.ema.europa.eu</w:t>
        </w:r>
      </w:hyperlink>
      <w:r>
        <w:t>.</w:t>
      </w:r>
      <w:r>
        <w:br w:type="page"/>
      </w:r>
    </w:p>
    <w:p w14:paraId="313653C7" w14:textId="2199496A" w:rsidR="009C5AEA" w:rsidRDefault="009C5AEA" w:rsidP="00DE78B3"/>
    <w:p w14:paraId="10A239A2" w14:textId="77777777" w:rsidR="008019CE" w:rsidRDefault="008019CE" w:rsidP="00DE78B3"/>
    <w:p w14:paraId="0C38D83B" w14:textId="77777777" w:rsidR="009C5AEA" w:rsidRDefault="009C5AEA" w:rsidP="00DE78B3"/>
    <w:p w14:paraId="7BCC083A" w14:textId="77777777" w:rsidR="009C5AEA" w:rsidRDefault="009C5AEA" w:rsidP="00DE78B3"/>
    <w:p w14:paraId="5D648D22" w14:textId="77777777" w:rsidR="009C5AEA" w:rsidRDefault="009C5AEA" w:rsidP="00DE78B3"/>
    <w:p w14:paraId="75873920" w14:textId="77777777" w:rsidR="009C5AEA" w:rsidRDefault="009C5AEA" w:rsidP="00DE78B3"/>
    <w:p w14:paraId="5FA7706B" w14:textId="77777777" w:rsidR="009C5AEA" w:rsidRDefault="009C5AEA" w:rsidP="00DE78B3"/>
    <w:p w14:paraId="35909303" w14:textId="77777777" w:rsidR="009C5AEA" w:rsidRDefault="009C5AEA" w:rsidP="00DE78B3"/>
    <w:p w14:paraId="0664A147" w14:textId="77777777" w:rsidR="009C5AEA" w:rsidRDefault="009C5AEA" w:rsidP="00DE78B3"/>
    <w:p w14:paraId="5D8BC355" w14:textId="77777777" w:rsidR="009C5AEA" w:rsidRDefault="009C5AEA" w:rsidP="00DE78B3"/>
    <w:p w14:paraId="55D189F7" w14:textId="77777777" w:rsidR="009C5AEA" w:rsidRDefault="009C5AEA" w:rsidP="00DE78B3"/>
    <w:p w14:paraId="62A6ACC2" w14:textId="77777777" w:rsidR="009C5AEA" w:rsidRDefault="009C5AEA" w:rsidP="00DE78B3"/>
    <w:p w14:paraId="2F3E7B20" w14:textId="77777777" w:rsidR="009C5AEA" w:rsidRDefault="009C5AEA" w:rsidP="00DE78B3"/>
    <w:p w14:paraId="0B063CA4" w14:textId="77777777" w:rsidR="009C5AEA" w:rsidRDefault="009C5AEA" w:rsidP="00DE78B3"/>
    <w:p w14:paraId="09511408" w14:textId="77777777" w:rsidR="009C5AEA" w:rsidRDefault="009C5AEA" w:rsidP="00DE78B3"/>
    <w:p w14:paraId="18933973" w14:textId="77777777" w:rsidR="009C5AEA" w:rsidRDefault="009C5AEA" w:rsidP="00DE78B3"/>
    <w:p w14:paraId="630F9D82" w14:textId="77777777" w:rsidR="009C5AEA" w:rsidRDefault="009C5AEA" w:rsidP="00DE78B3"/>
    <w:p w14:paraId="691A6EEC" w14:textId="77777777" w:rsidR="009C5AEA" w:rsidRDefault="009C5AEA" w:rsidP="00DE78B3"/>
    <w:p w14:paraId="361E46C0" w14:textId="77777777" w:rsidR="009C5AEA" w:rsidRDefault="009C5AEA" w:rsidP="00DE78B3"/>
    <w:p w14:paraId="428D069F" w14:textId="77777777" w:rsidR="009C5AEA" w:rsidRDefault="009C5AEA" w:rsidP="00DE78B3"/>
    <w:p w14:paraId="3743D78E" w14:textId="77777777" w:rsidR="009C5AEA" w:rsidRDefault="009C5AEA" w:rsidP="00DE78B3"/>
    <w:p w14:paraId="40B13B9A" w14:textId="77777777" w:rsidR="00F33603" w:rsidRDefault="00F33603" w:rsidP="00DE78B3"/>
    <w:p w14:paraId="6A4854B1" w14:textId="77777777" w:rsidR="009C5AEA" w:rsidRDefault="009C5AEA" w:rsidP="00DE78B3"/>
    <w:p w14:paraId="73E5EAA8" w14:textId="77777777" w:rsidR="009C5AEA" w:rsidRDefault="00F52356" w:rsidP="00DE78B3">
      <w:pPr>
        <w:pStyle w:val="Title"/>
        <w:outlineLvl w:val="9"/>
      </w:pPr>
      <w:r>
        <w:t>ANNEXE II</w:t>
      </w:r>
    </w:p>
    <w:p w14:paraId="56681F7F" w14:textId="77777777" w:rsidR="009C5AEA" w:rsidRDefault="009C5AEA" w:rsidP="00DE78B3"/>
    <w:p w14:paraId="738D3DB3" w14:textId="77777777" w:rsidR="009C5AEA" w:rsidRDefault="00F52356" w:rsidP="00DE78B3">
      <w:pPr>
        <w:pStyle w:val="Heading1Indent"/>
        <w:outlineLvl w:val="9"/>
      </w:pPr>
      <w:r>
        <w:t>A.</w:t>
      </w:r>
      <w:r>
        <w:tab/>
        <w:t>FABRICANT(S) DE LA/DES SUBSTANCE(S) ACTIVE(S) D’ORIGINE BIOLOGIQUE ET FABRICANT(S) RESPONSABLE(S) DE LA LIBÉRATION DES LOTS</w:t>
      </w:r>
    </w:p>
    <w:p w14:paraId="0C84F1D1" w14:textId="77777777" w:rsidR="009C5AEA" w:rsidRDefault="009C5AEA" w:rsidP="00DE78B3"/>
    <w:p w14:paraId="633DA714" w14:textId="77777777" w:rsidR="009C5AEA" w:rsidRDefault="00F52356" w:rsidP="00DE78B3">
      <w:pPr>
        <w:pStyle w:val="Heading1Indent"/>
        <w:outlineLvl w:val="9"/>
      </w:pPr>
      <w:r>
        <w:t>B.</w:t>
      </w:r>
      <w:r>
        <w:tab/>
        <w:t>CONDITIONS OU RESTRICTIONS DE DÉLIVRANCE ET D’UTILISATION</w:t>
      </w:r>
    </w:p>
    <w:p w14:paraId="4F3FA765" w14:textId="77777777" w:rsidR="009C5AEA" w:rsidRDefault="009C5AEA" w:rsidP="00DE78B3"/>
    <w:p w14:paraId="5805B491" w14:textId="77777777" w:rsidR="009C5AEA" w:rsidRDefault="00F52356" w:rsidP="00DE78B3">
      <w:pPr>
        <w:pStyle w:val="Heading1Indent"/>
        <w:outlineLvl w:val="9"/>
      </w:pPr>
      <w:r>
        <w:t>C.</w:t>
      </w:r>
      <w:r>
        <w:tab/>
        <w:t>AUTRES CONDITIONS ET OBLIGATIONS DE L’AUTORISATION DE MISE SUR LE MARCHÉ</w:t>
      </w:r>
    </w:p>
    <w:p w14:paraId="6DED0793" w14:textId="77777777" w:rsidR="009C5AEA" w:rsidRDefault="009C5AEA" w:rsidP="00DE78B3"/>
    <w:p w14:paraId="394877A2" w14:textId="77777777" w:rsidR="009C5AEA" w:rsidRDefault="00F52356" w:rsidP="00DE78B3">
      <w:pPr>
        <w:pStyle w:val="Heading1Indent"/>
        <w:outlineLvl w:val="9"/>
      </w:pPr>
      <w:r>
        <w:t>D.</w:t>
      </w:r>
      <w:r>
        <w:tab/>
        <w:t>CONDITIONS OU RESTRICTIONS EN VUE D’UNE UTILISATION SÛRE ET EFFICACE DU MÉDICAMENT</w:t>
      </w:r>
    </w:p>
    <w:p w14:paraId="2C22449D" w14:textId="77777777" w:rsidR="009C5AEA" w:rsidRDefault="009C5AEA" w:rsidP="00DE78B3"/>
    <w:p w14:paraId="39AF0ECE" w14:textId="77777777" w:rsidR="009C5AEA" w:rsidRDefault="00F52356" w:rsidP="00903F7D">
      <w:pPr>
        <w:pStyle w:val="TitleB"/>
        <w:ind w:left="562" w:hanging="562"/>
      </w:pPr>
      <w:r>
        <w:br w:type="page"/>
      </w:r>
      <w:r>
        <w:lastRenderedPageBreak/>
        <w:t>A.</w:t>
      </w:r>
      <w:r>
        <w:tab/>
        <w:t>FABRICANT(S) DE LA/DES SUBSTANCE(S) ACTIVE(S) D’ORIGINE BIOLOGIQUE ET FABRICANT(S) RESPONSABLE(S) DE LA LIBÉRATION DES LOTS</w:t>
      </w:r>
    </w:p>
    <w:p w14:paraId="0BD7D187" w14:textId="77777777" w:rsidR="009C5AEA" w:rsidRDefault="009C5AEA" w:rsidP="00DE78B3"/>
    <w:p w14:paraId="718DCF9A" w14:textId="77777777" w:rsidR="009C5AEA" w:rsidRDefault="00F52356" w:rsidP="00DE78B3">
      <w:pPr>
        <w:pStyle w:val="HeadingUnderlined"/>
      </w:pPr>
      <w:r>
        <w:t>Nom et adresse du (des) fabricant(s) de la (des) substance(s) active(s) d’origine biologique</w:t>
      </w:r>
    </w:p>
    <w:p w14:paraId="6862438D" w14:textId="77777777" w:rsidR="009C5AEA" w:rsidRDefault="009C5AEA" w:rsidP="00DE78B3"/>
    <w:p w14:paraId="1CC654C3" w14:textId="2379CCC4" w:rsidR="009C5AEA" w:rsidRPr="005F0FB2" w:rsidRDefault="00153CD8" w:rsidP="00DE78B3">
      <w:pPr>
        <w:rPr>
          <w:lang w:val="sv-SE"/>
        </w:rPr>
      </w:pPr>
      <w:r w:rsidRPr="005F0FB2">
        <w:rPr>
          <w:lang w:val="sv-SE"/>
        </w:rPr>
        <w:t>Bavarian Nordic</w:t>
      </w:r>
      <w:r w:rsidR="00F52356" w:rsidRPr="005F0FB2">
        <w:rPr>
          <w:lang w:val="sv-SE"/>
        </w:rPr>
        <w:t xml:space="preserve"> </w:t>
      </w:r>
      <w:proofErr w:type="spellStart"/>
      <w:r w:rsidR="00F52356" w:rsidRPr="005F0FB2">
        <w:rPr>
          <w:lang w:val="sv-SE"/>
        </w:rPr>
        <w:t>Berna</w:t>
      </w:r>
      <w:proofErr w:type="spellEnd"/>
      <w:r w:rsidR="00F52356" w:rsidRPr="005F0FB2">
        <w:rPr>
          <w:lang w:val="sv-SE"/>
        </w:rPr>
        <w:t xml:space="preserve"> GmbH</w:t>
      </w:r>
    </w:p>
    <w:p w14:paraId="7FAE7CD3" w14:textId="77777777" w:rsidR="009C5AEA" w:rsidRPr="005F0FB2" w:rsidRDefault="00F52356" w:rsidP="00DE78B3">
      <w:pPr>
        <w:rPr>
          <w:lang w:val="sv-SE"/>
        </w:rPr>
      </w:pPr>
      <w:proofErr w:type="spellStart"/>
      <w:r w:rsidRPr="005F0FB2">
        <w:rPr>
          <w:lang w:val="sv-SE"/>
        </w:rPr>
        <w:t>Oberriedstrasse</w:t>
      </w:r>
      <w:proofErr w:type="spellEnd"/>
      <w:r w:rsidRPr="005F0FB2">
        <w:rPr>
          <w:lang w:val="sv-SE"/>
        </w:rPr>
        <w:t xml:space="preserve"> 68</w:t>
      </w:r>
    </w:p>
    <w:p w14:paraId="63F7AF80" w14:textId="77777777" w:rsidR="009C5AEA" w:rsidRPr="00DF57F1" w:rsidRDefault="00F52356" w:rsidP="00DE78B3">
      <w:pPr>
        <w:rPr>
          <w:lang w:val="fr-CH"/>
        </w:rPr>
      </w:pPr>
      <w:r w:rsidRPr="00DF57F1">
        <w:rPr>
          <w:lang w:val="fr-CH"/>
        </w:rPr>
        <w:t xml:space="preserve">CH-3174 </w:t>
      </w:r>
      <w:proofErr w:type="spellStart"/>
      <w:r w:rsidRPr="00DF57F1">
        <w:rPr>
          <w:lang w:val="fr-CH"/>
        </w:rPr>
        <w:t>Thörishaus</w:t>
      </w:r>
      <w:proofErr w:type="spellEnd"/>
    </w:p>
    <w:p w14:paraId="30149D4A" w14:textId="77777777" w:rsidR="009C5AEA" w:rsidRDefault="00F52356" w:rsidP="00DE78B3">
      <w:r>
        <w:t>Suisse</w:t>
      </w:r>
    </w:p>
    <w:p w14:paraId="21E2E6EB" w14:textId="77777777" w:rsidR="009C5AEA" w:rsidRDefault="009C5AEA" w:rsidP="00DE78B3"/>
    <w:p w14:paraId="18C18058" w14:textId="77777777" w:rsidR="009C5AEA" w:rsidRDefault="00F52356" w:rsidP="00DE78B3">
      <w:pPr>
        <w:pStyle w:val="HeadingUnderlined"/>
      </w:pPr>
      <w:r>
        <w:t>Nom et adresse du (des) fabricant(s) responsable(s) de la libération des lots</w:t>
      </w:r>
    </w:p>
    <w:p w14:paraId="52656192" w14:textId="77777777" w:rsidR="009C5AEA" w:rsidRDefault="009C5AEA" w:rsidP="00DE78B3"/>
    <w:p w14:paraId="165D0152" w14:textId="77777777" w:rsidR="009C5AEA" w:rsidRDefault="00F52356" w:rsidP="00DE78B3">
      <w:r>
        <w:t xml:space="preserve">IL-CSM </w:t>
      </w:r>
      <w:proofErr w:type="spellStart"/>
      <w:r>
        <w:t>GmbH</w:t>
      </w:r>
      <w:proofErr w:type="spellEnd"/>
    </w:p>
    <w:p w14:paraId="0908741E" w14:textId="77777777" w:rsidR="009C5AEA" w:rsidRDefault="00F52356" w:rsidP="00DE78B3">
      <w:r>
        <w:t>Marie-Curie-Strasse 8</w:t>
      </w:r>
    </w:p>
    <w:p w14:paraId="245B67C2" w14:textId="77777777" w:rsidR="009C5AEA" w:rsidRPr="00F451F0" w:rsidRDefault="00F52356" w:rsidP="00DE78B3">
      <w:pPr>
        <w:rPr>
          <w:lang w:val="fr-CH"/>
        </w:rPr>
      </w:pPr>
      <w:r w:rsidRPr="00F451F0">
        <w:rPr>
          <w:lang w:val="fr-CH"/>
        </w:rPr>
        <w:t>D</w:t>
      </w:r>
      <w:r w:rsidRPr="00F451F0">
        <w:rPr>
          <w:lang w:val="fr-CH"/>
        </w:rPr>
        <w:noBreakHyphen/>
        <w:t>79539 Lörrach</w:t>
      </w:r>
    </w:p>
    <w:p w14:paraId="61A8548B" w14:textId="77777777" w:rsidR="009C5AEA" w:rsidRPr="00F451F0" w:rsidRDefault="00F52356" w:rsidP="00DE78B3">
      <w:pPr>
        <w:rPr>
          <w:lang w:val="fr-CH"/>
        </w:rPr>
      </w:pPr>
      <w:r w:rsidRPr="00F451F0">
        <w:rPr>
          <w:lang w:val="fr-CH"/>
        </w:rPr>
        <w:t>Allemagne</w:t>
      </w:r>
    </w:p>
    <w:p w14:paraId="17ED57E6" w14:textId="77777777" w:rsidR="009C5AEA" w:rsidRDefault="009C5AEA" w:rsidP="00DE78B3"/>
    <w:p w14:paraId="4A3D20D5" w14:textId="77777777" w:rsidR="009C5AEA" w:rsidRDefault="009C5AEA" w:rsidP="00DE78B3"/>
    <w:p w14:paraId="26216452" w14:textId="77777777" w:rsidR="009C5AEA" w:rsidRDefault="00F52356" w:rsidP="00903F7D">
      <w:pPr>
        <w:pStyle w:val="TitleB"/>
        <w:ind w:left="562" w:hanging="562"/>
      </w:pPr>
      <w:r>
        <w:t>B.</w:t>
      </w:r>
      <w:r>
        <w:tab/>
        <w:t>CONDITIONS OU RESTRICTIONS DE DÉLIVRANCE ET D’UTILISATION</w:t>
      </w:r>
    </w:p>
    <w:p w14:paraId="6A126891" w14:textId="77777777" w:rsidR="009C5AEA" w:rsidRDefault="009C5AEA" w:rsidP="00DE78B3"/>
    <w:p w14:paraId="5F426727" w14:textId="77777777" w:rsidR="009C5AEA" w:rsidRDefault="00F52356" w:rsidP="00DE78B3">
      <w:r>
        <w:t>Médicament soumis à prescription médicale.</w:t>
      </w:r>
    </w:p>
    <w:p w14:paraId="117C3344" w14:textId="77777777" w:rsidR="009C5AEA" w:rsidRDefault="009C5AEA" w:rsidP="00DE78B3"/>
    <w:p w14:paraId="64C760FD" w14:textId="77777777" w:rsidR="009C5AEA" w:rsidRDefault="00F52356" w:rsidP="00DE78B3">
      <w:pPr>
        <w:pStyle w:val="Bullet"/>
        <w:rPr>
          <w:rStyle w:val="Strong"/>
        </w:rPr>
      </w:pPr>
      <w:r>
        <w:rPr>
          <w:rStyle w:val="Strong"/>
        </w:rPr>
        <w:t>Libération officielle des lots</w:t>
      </w:r>
    </w:p>
    <w:p w14:paraId="4FE0A6F8" w14:textId="77777777" w:rsidR="009C5AEA" w:rsidRDefault="009C5AEA" w:rsidP="00DE78B3"/>
    <w:p w14:paraId="787268DC" w14:textId="1E3142B0" w:rsidR="009C5AEA" w:rsidRDefault="00F52356" w:rsidP="00DE78B3">
      <w:r>
        <w:t>Conformément à l’article</w:t>
      </w:r>
      <w:r w:rsidR="00A3285B">
        <w:t> </w:t>
      </w:r>
      <w:r>
        <w:t>114 de la Directive</w:t>
      </w:r>
      <w:r w:rsidR="00A3285B">
        <w:t> </w:t>
      </w:r>
      <w:r>
        <w:t>2001/83/CE, la libération officielle des lots sera effectuée par un laboratoire d’État ou un laboratoire désigné à cet effet.</w:t>
      </w:r>
    </w:p>
    <w:p w14:paraId="582DA7EC" w14:textId="77777777" w:rsidR="009C5AEA" w:rsidRDefault="009C5AEA" w:rsidP="00DE78B3"/>
    <w:p w14:paraId="6A8FE711" w14:textId="77777777" w:rsidR="009C5AEA" w:rsidRDefault="009C5AEA" w:rsidP="00DE78B3"/>
    <w:p w14:paraId="2DA06B51" w14:textId="77777777" w:rsidR="009C5AEA" w:rsidRDefault="00F52356" w:rsidP="00903F7D">
      <w:pPr>
        <w:pStyle w:val="TitleB"/>
        <w:ind w:left="562" w:hanging="562"/>
      </w:pPr>
      <w:r>
        <w:t>C.</w:t>
      </w:r>
      <w:r>
        <w:tab/>
        <w:t>AUTRES CONDITIONS ET OBLIGATIONS DE L’AUTORISATION DE MISE SUR LE MARCHÉ</w:t>
      </w:r>
    </w:p>
    <w:p w14:paraId="7E41CABA" w14:textId="77777777" w:rsidR="009C5AEA" w:rsidRDefault="009C5AEA" w:rsidP="00DE78B3"/>
    <w:p w14:paraId="3D0B4CA3" w14:textId="77777777" w:rsidR="009C5AEA" w:rsidRDefault="00F52356" w:rsidP="00DE78B3">
      <w:pPr>
        <w:pStyle w:val="Bullet"/>
        <w:rPr>
          <w:rStyle w:val="Strong"/>
        </w:rPr>
      </w:pPr>
      <w:r>
        <w:rPr>
          <w:rStyle w:val="Strong"/>
        </w:rPr>
        <w:t>Rapports périodiques actualisés de sécurité (</w:t>
      </w:r>
      <w:proofErr w:type="spellStart"/>
      <w:r>
        <w:rPr>
          <w:rStyle w:val="Strong"/>
        </w:rPr>
        <w:t>PSURs</w:t>
      </w:r>
      <w:proofErr w:type="spellEnd"/>
      <w:r>
        <w:rPr>
          <w:rStyle w:val="Strong"/>
        </w:rPr>
        <w:t>)</w:t>
      </w:r>
    </w:p>
    <w:p w14:paraId="7587E7D9" w14:textId="77777777" w:rsidR="009C5AEA" w:rsidRDefault="009C5AEA" w:rsidP="00DE78B3"/>
    <w:p w14:paraId="79D6597A" w14:textId="5F97D138" w:rsidR="009C5AEA" w:rsidRDefault="00F52356" w:rsidP="00DE78B3">
      <w:r>
        <w:t xml:space="preserve">Les exigences relatives à la soumission des </w:t>
      </w:r>
      <w:proofErr w:type="spellStart"/>
      <w:r>
        <w:t>PSURs</w:t>
      </w:r>
      <w:proofErr w:type="spellEnd"/>
      <w:r>
        <w:t xml:space="preserve"> pour ce médicament sont définies dans la liste des dates de référence pour l’Union (liste EURD) prévue à l’article</w:t>
      </w:r>
      <w:r w:rsidR="00A3285B">
        <w:t> </w:t>
      </w:r>
      <w:r>
        <w:t>107 quater, paragraphe</w:t>
      </w:r>
      <w:r w:rsidR="00A3285B">
        <w:t> </w:t>
      </w:r>
      <w:r>
        <w:t>7, de la directive</w:t>
      </w:r>
      <w:r w:rsidR="00A3285B">
        <w:t> </w:t>
      </w:r>
      <w:r>
        <w:t>2001/83/CE et ses actualisations publiées sur le portail web européen des médicaments.</w:t>
      </w:r>
    </w:p>
    <w:p w14:paraId="2F33A205" w14:textId="77777777" w:rsidR="009C5AEA" w:rsidRDefault="009C5AEA" w:rsidP="00DE78B3"/>
    <w:p w14:paraId="66DB356C" w14:textId="77777777" w:rsidR="009C5AEA" w:rsidRDefault="009C5AEA" w:rsidP="00DE78B3"/>
    <w:p w14:paraId="029D5D42" w14:textId="77777777" w:rsidR="009C5AEA" w:rsidRDefault="00F52356" w:rsidP="00903F7D">
      <w:pPr>
        <w:pStyle w:val="TitleB"/>
        <w:ind w:left="562" w:hanging="562"/>
      </w:pPr>
      <w:r>
        <w:t>D.</w:t>
      </w:r>
      <w:r>
        <w:tab/>
        <w:t>CONDITIONS OU RESTRICTIONS EN VUE D’UNE UTILISATION SÛRE ET EFFICACE DU MÉDICAMENT</w:t>
      </w:r>
    </w:p>
    <w:p w14:paraId="6A0F6B77" w14:textId="77777777" w:rsidR="009C5AEA" w:rsidRDefault="009C5AEA" w:rsidP="00DE78B3">
      <w:pPr>
        <w:keepNext/>
      </w:pPr>
    </w:p>
    <w:p w14:paraId="6C9AA0CD" w14:textId="77777777" w:rsidR="009C5AEA" w:rsidRDefault="00F52356" w:rsidP="00DE78B3">
      <w:pPr>
        <w:pStyle w:val="Bullet"/>
        <w:keepNext/>
        <w:rPr>
          <w:rStyle w:val="Strong"/>
        </w:rPr>
      </w:pPr>
      <w:r>
        <w:rPr>
          <w:rStyle w:val="Strong"/>
        </w:rPr>
        <w:t>Plan de gestion des risques (PGR)</w:t>
      </w:r>
    </w:p>
    <w:p w14:paraId="0317D0E3" w14:textId="77777777" w:rsidR="009C5AEA" w:rsidRDefault="009C5AEA" w:rsidP="00DE78B3">
      <w:pPr>
        <w:keepNext/>
      </w:pPr>
    </w:p>
    <w:p w14:paraId="43B5440B" w14:textId="2C936F55" w:rsidR="009C5AEA" w:rsidRDefault="00F52356" w:rsidP="00DE78B3">
      <w:r>
        <w:t>Le titulaire de l’autorisation de mise sur le marché réalise les activités de pharmacovigilance et interventions requises décrites dans le PGR adopté et présenté dans le Module</w:t>
      </w:r>
      <w:r w:rsidR="00A3285B">
        <w:t> </w:t>
      </w:r>
      <w:r>
        <w:t>1.8.2 de l’autorisation de mise sur le marché, ainsi que toutes actualisations ultérieures adoptées du PGR.</w:t>
      </w:r>
    </w:p>
    <w:p w14:paraId="1C0040F4" w14:textId="77777777" w:rsidR="009C5AEA" w:rsidRDefault="009C5AEA" w:rsidP="00DE78B3"/>
    <w:p w14:paraId="50C88AC9" w14:textId="77777777" w:rsidR="009C5AEA" w:rsidRDefault="00F52356" w:rsidP="00DE78B3">
      <w:pPr>
        <w:keepNext/>
      </w:pPr>
      <w:r>
        <w:t>De plus, un PGR actualisé doit être soumis :</w:t>
      </w:r>
    </w:p>
    <w:p w14:paraId="38811910" w14:textId="77777777" w:rsidR="009C5AEA" w:rsidRDefault="00F52356" w:rsidP="00DE78B3">
      <w:pPr>
        <w:pStyle w:val="Bullet"/>
        <w:keepNext/>
        <w:ind w:left="567"/>
      </w:pPr>
      <w:proofErr w:type="gramStart"/>
      <w:r>
        <w:t>à</w:t>
      </w:r>
      <w:proofErr w:type="gramEnd"/>
      <w:r>
        <w:t xml:space="preserve"> la demande de l’Agence européenne des médicaments ;</w:t>
      </w:r>
    </w:p>
    <w:p w14:paraId="4BAB3EB2" w14:textId="77777777" w:rsidR="009C5AEA" w:rsidRDefault="00F52356" w:rsidP="00DE78B3">
      <w:pPr>
        <w:pStyle w:val="Bullet"/>
        <w:ind w:left="567"/>
      </w:pPr>
      <w:proofErr w:type="gramStart"/>
      <w:r>
        <w:t>dès</w:t>
      </w:r>
      <w:proofErr w:type="gramEnd"/>
      <w:r>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0391223C" w14:textId="77777777" w:rsidR="009C5AEA" w:rsidRDefault="009C5AEA" w:rsidP="00DE78B3"/>
    <w:p w14:paraId="71DB1D07" w14:textId="77777777" w:rsidR="009C5AEA" w:rsidRDefault="00F52356" w:rsidP="00DE78B3">
      <w:pPr>
        <w:pStyle w:val="Bullet"/>
        <w:rPr>
          <w:rStyle w:val="Strong"/>
        </w:rPr>
      </w:pPr>
      <w:r>
        <w:rPr>
          <w:rStyle w:val="Strong"/>
        </w:rPr>
        <w:t>Mesures additionnelles de réduction du risque</w:t>
      </w:r>
    </w:p>
    <w:p w14:paraId="7DF58F73" w14:textId="77777777" w:rsidR="009C5AEA" w:rsidRDefault="009C5AEA" w:rsidP="00DE78B3"/>
    <w:p w14:paraId="508D1CFF" w14:textId="77777777" w:rsidR="009C5AEA" w:rsidRDefault="00F52356" w:rsidP="00DE78B3">
      <w:r>
        <w:t xml:space="preserve">Avant la mise sur le marché de Vaxchora dans chaque État membre, le titulaire de l’autorisation de mise sur le marché doit valider le contenu et le format du programme éducatif, y compris les moyens </w:t>
      </w:r>
      <w:r>
        <w:lastRenderedPageBreak/>
        <w:t>de communication, les modalités de distribution et d’autres aspects du programme, auprès de l’autorité nationale compétente.</w:t>
      </w:r>
    </w:p>
    <w:p w14:paraId="509E43F8" w14:textId="77777777" w:rsidR="009C5AEA" w:rsidRDefault="009C5AEA" w:rsidP="00DE78B3"/>
    <w:p w14:paraId="62A2590F" w14:textId="77777777" w:rsidR="009C5AEA" w:rsidRDefault="00F52356" w:rsidP="00DE78B3">
      <w:r>
        <w:t>Le programme éducatif vise à minimiser le risque d’erreurs médicamenteuses lors de la reconstitution et de l’utilisation du produit.</w:t>
      </w:r>
    </w:p>
    <w:p w14:paraId="093F77BC" w14:textId="77777777" w:rsidR="009C5AEA" w:rsidRDefault="009C5AEA" w:rsidP="00DE78B3"/>
    <w:p w14:paraId="62E10E42" w14:textId="678FDEFB" w:rsidR="009C5AEA" w:rsidRDefault="00F52356" w:rsidP="00DE78B3">
      <w:r>
        <w:t xml:space="preserve">Le titulaire de l’autorisation de mise sur le marché doit s’assurer que, dans chaque État membre où </w:t>
      </w:r>
      <w:r w:rsidR="00C058C2">
        <w:t xml:space="preserve">le vaccin </w:t>
      </w:r>
      <w:r>
        <w:t xml:space="preserve">est mis sur le marché, tous les professionnels de santé et les patients/aidants qui devraient prescrire et utiliser </w:t>
      </w:r>
      <w:r w:rsidR="00C058C2">
        <w:t>ce vaccin</w:t>
      </w:r>
      <w:r>
        <w:t>, respectivement, ont accès au matériel éducatif suivant ou le reçoivent :</w:t>
      </w:r>
    </w:p>
    <w:p w14:paraId="6EECE532" w14:textId="77777777" w:rsidR="009C5AEA" w:rsidRDefault="009C5AEA" w:rsidP="00DE78B3"/>
    <w:p w14:paraId="1121AC99" w14:textId="156A3C7F" w:rsidR="009C5AEA" w:rsidRDefault="00F52356" w:rsidP="00DE78B3">
      <w:pPr>
        <w:pStyle w:val="Bullet"/>
      </w:pPr>
      <w:r>
        <w:t xml:space="preserve">Matériel </w:t>
      </w:r>
      <w:r w:rsidR="00BC0497" w:rsidRPr="00AD6E27">
        <w:rPr>
          <w:lang w:val="fr-CH"/>
        </w:rPr>
        <w:t>éducationnel</w:t>
      </w:r>
      <w:r>
        <w:t xml:space="preserve"> destiné aux </w:t>
      </w:r>
      <w:r w:rsidR="00CE6ED5">
        <w:t>professionnels de santé</w:t>
      </w:r>
    </w:p>
    <w:p w14:paraId="53E71FC1" w14:textId="77777777" w:rsidR="009C5AEA" w:rsidRDefault="00F52356" w:rsidP="00DE78B3">
      <w:pPr>
        <w:pStyle w:val="Bullet"/>
      </w:pPr>
      <w:r>
        <w:t>Dossier d’information destiné aux patients</w:t>
      </w:r>
    </w:p>
    <w:p w14:paraId="64BA1577" w14:textId="77777777" w:rsidR="009C5AEA" w:rsidRDefault="009C5AEA" w:rsidP="00DE78B3"/>
    <w:p w14:paraId="51D654B7" w14:textId="279F8A89" w:rsidR="009C5AEA" w:rsidRDefault="00F52356" w:rsidP="00DE78B3">
      <w:pPr>
        <w:pStyle w:val="HeadingStrong"/>
      </w:pPr>
      <w:r>
        <w:t xml:space="preserve">Matériel </w:t>
      </w:r>
      <w:r w:rsidR="00BC0497" w:rsidRPr="00AD6E27">
        <w:rPr>
          <w:lang w:val="fr-CH"/>
        </w:rPr>
        <w:t>éducationnel</w:t>
      </w:r>
      <w:r>
        <w:t xml:space="preserve"> destiné aux </w:t>
      </w:r>
      <w:r w:rsidR="00CE6ED5">
        <w:t>professionnels de santé </w:t>
      </w:r>
      <w:r>
        <w:t>:</w:t>
      </w:r>
    </w:p>
    <w:p w14:paraId="267CCC32" w14:textId="77777777" w:rsidR="009C5AEA" w:rsidRDefault="00F52356" w:rsidP="00DE78B3">
      <w:pPr>
        <w:pStyle w:val="Bullet"/>
      </w:pPr>
      <w:r>
        <w:t>Résumé des caractéristiques du produit</w:t>
      </w:r>
    </w:p>
    <w:p w14:paraId="1CB25A3B" w14:textId="1C0361AA" w:rsidR="009C5AEA" w:rsidRDefault="00F52356" w:rsidP="00DE78B3">
      <w:pPr>
        <w:pStyle w:val="Bullet"/>
      </w:pPr>
      <w:r>
        <w:t>Guide pour les professionnels de santé</w:t>
      </w:r>
    </w:p>
    <w:p w14:paraId="013C4887" w14:textId="3E1E1E7F" w:rsidR="009C5AEA" w:rsidRDefault="00F52356" w:rsidP="00DE78B3">
      <w:pPr>
        <w:pStyle w:val="Bullet"/>
      </w:pPr>
      <w:r>
        <w:t>Guide du patient</w:t>
      </w:r>
    </w:p>
    <w:p w14:paraId="2484C940" w14:textId="77777777" w:rsidR="00CE1511" w:rsidRDefault="00CE1511" w:rsidP="00DE78B3">
      <w:pPr>
        <w:pStyle w:val="Bullet"/>
        <w:numPr>
          <w:ilvl w:val="0"/>
          <w:numId w:val="0"/>
        </w:numPr>
      </w:pPr>
    </w:p>
    <w:p w14:paraId="00B71446" w14:textId="48C66729" w:rsidR="009C5AEA" w:rsidRDefault="00F52356" w:rsidP="00DE78B3">
      <w:pPr>
        <w:pStyle w:val="Bullet"/>
        <w:numPr>
          <w:ilvl w:val="0"/>
          <w:numId w:val="0"/>
        </w:numPr>
        <w:ind w:left="562" w:hanging="562"/>
        <w:rPr>
          <w:rStyle w:val="Strong"/>
        </w:rPr>
      </w:pPr>
      <w:r>
        <w:rPr>
          <w:rStyle w:val="Strong"/>
        </w:rPr>
        <w:t>Messages principaux du guide pour les professionnels de santé :</w:t>
      </w:r>
    </w:p>
    <w:p w14:paraId="0A9181DF" w14:textId="2E927EAA" w:rsidR="009C5AEA" w:rsidRDefault="00F52356" w:rsidP="00DE78B3">
      <w:pPr>
        <w:pStyle w:val="Bullet2"/>
      </w:pPr>
      <w:r>
        <w:t xml:space="preserve">Il existe un </w:t>
      </w:r>
      <w:proofErr w:type="gramStart"/>
      <w:r>
        <w:t>risque</w:t>
      </w:r>
      <w:r w:rsidR="00CE6ED5">
        <w:t xml:space="preserve"> potentiel</w:t>
      </w:r>
      <w:proofErr w:type="gramEnd"/>
      <w:r>
        <w:t xml:space="preserve"> important d’erreurs médicamenteuses lors de la reconstitution et de l’utilisation </w:t>
      </w:r>
      <w:r w:rsidR="00C058C2">
        <w:t>du vaccin</w:t>
      </w:r>
      <w:r>
        <w:t>.</w:t>
      </w:r>
    </w:p>
    <w:p w14:paraId="0B300F15" w14:textId="6144C193" w:rsidR="00CE6ED5" w:rsidRDefault="00CE6ED5" w:rsidP="00DE78B3">
      <w:pPr>
        <w:pStyle w:val="Bullet2"/>
      </w:pPr>
      <w:r w:rsidRPr="00CE6ED5">
        <w:t>Il exi</w:t>
      </w:r>
      <w:r>
        <w:t xml:space="preserve">ste un </w:t>
      </w:r>
      <w:proofErr w:type="gramStart"/>
      <w:r>
        <w:t>risque potentiel</w:t>
      </w:r>
      <w:proofErr w:type="gramEnd"/>
      <w:r>
        <w:t xml:space="preserve"> accru d’</w:t>
      </w:r>
      <w:r w:rsidRPr="00CE6ED5">
        <w:t>erreurs médicamenteuses lorsque le vaccin est préparé et ad</w:t>
      </w:r>
      <w:r w:rsidR="00D149E4">
        <w:t xml:space="preserve">ministré aux enfants âgés de </w:t>
      </w:r>
      <w:r w:rsidR="008F449B">
        <w:t>2</w:t>
      </w:r>
      <w:r w:rsidR="00C058C2">
        <w:t> </w:t>
      </w:r>
      <w:r w:rsidR="008F449B">
        <w:t>ans à moins</w:t>
      </w:r>
      <w:r w:rsidR="00D149E4">
        <w:t xml:space="preserve"> de 6 </w:t>
      </w:r>
      <w:r w:rsidRPr="00CE6ED5">
        <w:t>ans</w:t>
      </w:r>
      <w:r w:rsidR="00D149E4">
        <w:t>.</w:t>
      </w:r>
    </w:p>
    <w:p w14:paraId="4DBF5345" w14:textId="77777777" w:rsidR="009C5AEA" w:rsidRDefault="00F52356" w:rsidP="00DE78B3">
      <w:pPr>
        <w:pStyle w:val="Bullet2"/>
      </w:pPr>
      <w:r>
        <w:t>Les patients/aidants doivent être informés des instructions de reconstitution et les suivre scrupuleusement.</w:t>
      </w:r>
    </w:p>
    <w:p w14:paraId="3FEA591D" w14:textId="25C30044" w:rsidR="009C5AEA" w:rsidRDefault="00F52356" w:rsidP="00DE78B3">
      <w:pPr>
        <w:pStyle w:val="Bullet2"/>
      </w:pPr>
      <w:r>
        <w:t xml:space="preserve">Les professionnels de santé doivent conseiller les patients et leurs aidants sur la manière de reconstituer et d’administrer </w:t>
      </w:r>
      <w:r w:rsidR="00C058C2">
        <w:t>le vaccin</w:t>
      </w:r>
      <w:r>
        <w:t>.</w:t>
      </w:r>
    </w:p>
    <w:p w14:paraId="1C698AE6" w14:textId="44EDFEB4" w:rsidR="009C5AEA" w:rsidRDefault="00F52356" w:rsidP="00DE78B3">
      <w:pPr>
        <w:pStyle w:val="Bullet2"/>
      </w:pPr>
      <w:r>
        <w:t xml:space="preserve">Description détaillée des procédures d’administration </w:t>
      </w:r>
      <w:r w:rsidR="00C058C2">
        <w:t>du vaccin</w:t>
      </w:r>
    </w:p>
    <w:p w14:paraId="18025979" w14:textId="77777777" w:rsidR="009C5AEA" w:rsidRDefault="009C5AEA" w:rsidP="00DE78B3"/>
    <w:p w14:paraId="2D2F281D" w14:textId="77777777" w:rsidR="009C5AEA" w:rsidRDefault="00F52356" w:rsidP="00DE78B3">
      <w:pPr>
        <w:pStyle w:val="HeadingStrong"/>
      </w:pPr>
      <w:r>
        <w:t>Dossier d’information destiné aux patients :</w:t>
      </w:r>
    </w:p>
    <w:p w14:paraId="05229A02" w14:textId="77777777" w:rsidR="009C5AEA" w:rsidRDefault="00F52356" w:rsidP="00DE78B3">
      <w:pPr>
        <w:pStyle w:val="Bullet2"/>
      </w:pPr>
      <w:r>
        <w:t>Notice d’information patient</w:t>
      </w:r>
    </w:p>
    <w:p w14:paraId="1B7AFE6B" w14:textId="77777777" w:rsidR="009C5AEA" w:rsidRDefault="00F52356" w:rsidP="00DE78B3">
      <w:pPr>
        <w:pStyle w:val="Bullet2"/>
      </w:pPr>
      <w:r>
        <w:t>Guide du patient/de l’aidant</w:t>
      </w:r>
    </w:p>
    <w:p w14:paraId="6CF3AEDA" w14:textId="77777777" w:rsidR="00C058C2" w:rsidRDefault="00C058C2" w:rsidP="00DE78B3">
      <w:pPr>
        <w:pStyle w:val="Bullet"/>
        <w:numPr>
          <w:ilvl w:val="0"/>
          <w:numId w:val="0"/>
        </w:numPr>
        <w:ind w:left="562" w:hanging="562"/>
        <w:rPr>
          <w:rStyle w:val="Strong"/>
        </w:rPr>
      </w:pPr>
    </w:p>
    <w:p w14:paraId="587F117B" w14:textId="552E5159" w:rsidR="009C5AEA" w:rsidRDefault="00F52356" w:rsidP="00DE78B3">
      <w:pPr>
        <w:pStyle w:val="Bullet"/>
        <w:numPr>
          <w:ilvl w:val="0"/>
          <w:numId w:val="0"/>
        </w:numPr>
        <w:ind w:left="562" w:hanging="562"/>
        <w:rPr>
          <w:rStyle w:val="Strong"/>
        </w:rPr>
      </w:pPr>
      <w:r>
        <w:rPr>
          <w:rStyle w:val="Strong"/>
        </w:rPr>
        <w:t>Messages principaux du guide du patient/de l’aidant :</w:t>
      </w:r>
    </w:p>
    <w:p w14:paraId="1DCE87E2" w14:textId="79511C99" w:rsidR="009C5AEA" w:rsidRDefault="00C058C2" w:rsidP="00DE78B3">
      <w:pPr>
        <w:pStyle w:val="Bullet2"/>
      </w:pPr>
      <w:r>
        <w:t xml:space="preserve">Le vaccin </w:t>
      </w:r>
      <w:r w:rsidR="00F52356">
        <w:t>doit impérativement être reconstitué et administré selon les instructions</w:t>
      </w:r>
      <w:r w:rsidR="00103D1D">
        <w:t xml:space="preserve"> d’utilisation</w:t>
      </w:r>
    </w:p>
    <w:p w14:paraId="173FA7AB" w14:textId="37C31849" w:rsidR="00D149E4" w:rsidRDefault="00D149E4" w:rsidP="00DE78B3">
      <w:pPr>
        <w:pStyle w:val="Bullet2"/>
      </w:pPr>
      <w:r w:rsidRPr="00D149E4">
        <w:t>Il convient d</w:t>
      </w:r>
      <w:r>
        <w:t>’</w:t>
      </w:r>
      <w:r w:rsidRPr="00D149E4">
        <w:t>accorder une attention accrue aux instructions</w:t>
      </w:r>
      <w:r>
        <w:t xml:space="preserve"> lors de la préparation et de l’</w:t>
      </w:r>
      <w:r w:rsidRPr="00D149E4">
        <w:t xml:space="preserve">administration du vaccin </w:t>
      </w:r>
      <w:r>
        <w:t>aux enfants âgés de 2</w:t>
      </w:r>
      <w:r w:rsidR="00C058C2">
        <w:t> </w:t>
      </w:r>
      <w:r w:rsidR="00103D1D">
        <w:t>ans</w:t>
      </w:r>
      <w:r>
        <w:t xml:space="preserve"> à moins de 6 </w:t>
      </w:r>
      <w:r w:rsidRPr="00D149E4">
        <w:t>ans</w:t>
      </w:r>
    </w:p>
    <w:p w14:paraId="0010184D" w14:textId="5287885A" w:rsidR="009C5AEA" w:rsidRDefault="00F52356" w:rsidP="00DE78B3">
      <w:pPr>
        <w:pStyle w:val="Bullet2"/>
      </w:pPr>
      <w:r>
        <w:t>Description détaillée des modalités utilisées pour l’</w:t>
      </w:r>
      <w:proofErr w:type="spellStart"/>
      <w:r>
        <w:t>auto-administration</w:t>
      </w:r>
      <w:proofErr w:type="spellEnd"/>
      <w:r>
        <w:t xml:space="preserve"> </w:t>
      </w:r>
      <w:r w:rsidR="00C058C2">
        <w:t>du vaccin</w:t>
      </w:r>
    </w:p>
    <w:p w14:paraId="0480F8E6" w14:textId="77777777" w:rsidR="009C5AEA" w:rsidRDefault="00F52356" w:rsidP="00DE78B3">
      <w:pPr>
        <w:pStyle w:val="Bullet2"/>
      </w:pPr>
      <w:r>
        <w:t>Importance du signalement des erreurs médicamenteuses</w:t>
      </w:r>
    </w:p>
    <w:p w14:paraId="44BF3FCB" w14:textId="77777777" w:rsidR="009C5AEA" w:rsidRDefault="00F52356" w:rsidP="00DE78B3">
      <w:r>
        <w:br w:type="page"/>
      </w:r>
    </w:p>
    <w:p w14:paraId="77FF2895" w14:textId="7737C7DC" w:rsidR="009C5AEA" w:rsidRDefault="009C5AEA" w:rsidP="00DE78B3"/>
    <w:p w14:paraId="31FB3ABC" w14:textId="77777777" w:rsidR="008019CE" w:rsidRDefault="008019CE" w:rsidP="00DE78B3"/>
    <w:p w14:paraId="12C4D42B" w14:textId="77777777" w:rsidR="009C5AEA" w:rsidRDefault="009C5AEA" w:rsidP="00DE78B3"/>
    <w:p w14:paraId="240C28CD" w14:textId="77777777" w:rsidR="009C5AEA" w:rsidRDefault="009C5AEA" w:rsidP="00DE78B3"/>
    <w:p w14:paraId="0185F646" w14:textId="77777777" w:rsidR="009C5AEA" w:rsidRDefault="009C5AEA" w:rsidP="00DE78B3"/>
    <w:p w14:paraId="0B459EF2" w14:textId="77777777" w:rsidR="009C5AEA" w:rsidRDefault="009C5AEA" w:rsidP="00DE78B3"/>
    <w:p w14:paraId="08EF5048" w14:textId="77777777" w:rsidR="009C5AEA" w:rsidRDefault="009C5AEA" w:rsidP="00DE78B3"/>
    <w:p w14:paraId="5FE79922" w14:textId="77777777" w:rsidR="009C5AEA" w:rsidRDefault="009C5AEA" w:rsidP="00DE78B3"/>
    <w:p w14:paraId="52EA8DAC" w14:textId="77777777" w:rsidR="009C5AEA" w:rsidRDefault="009C5AEA" w:rsidP="00DE78B3"/>
    <w:p w14:paraId="0B49D941" w14:textId="77777777" w:rsidR="009C5AEA" w:rsidRDefault="009C5AEA" w:rsidP="00DE78B3"/>
    <w:p w14:paraId="2B2036F5" w14:textId="77777777" w:rsidR="009C5AEA" w:rsidRDefault="009C5AEA" w:rsidP="00DE78B3"/>
    <w:p w14:paraId="0DE90C28" w14:textId="77777777" w:rsidR="009C5AEA" w:rsidRDefault="009C5AEA" w:rsidP="00DE78B3"/>
    <w:p w14:paraId="40840205" w14:textId="77777777" w:rsidR="009C5AEA" w:rsidRDefault="009C5AEA" w:rsidP="00DE78B3"/>
    <w:p w14:paraId="234E4918" w14:textId="77777777" w:rsidR="009C5AEA" w:rsidRDefault="009C5AEA" w:rsidP="00DE78B3"/>
    <w:p w14:paraId="0D56D7F1" w14:textId="77777777" w:rsidR="009C5AEA" w:rsidRDefault="009C5AEA" w:rsidP="00DE78B3"/>
    <w:p w14:paraId="57A6F132" w14:textId="77777777" w:rsidR="009C5AEA" w:rsidRDefault="009C5AEA" w:rsidP="00DE78B3"/>
    <w:p w14:paraId="3A7FF14B" w14:textId="77777777" w:rsidR="009C5AEA" w:rsidRDefault="009C5AEA" w:rsidP="00DE78B3"/>
    <w:p w14:paraId="595893D3" w14:textId="77777777" w:rsidR="009C5AEA" w:rsidRDefault="009C5AEA" w:rsidP="00DE78B3"/>
    <w:p w14:paraId="362BEDBB" w14:textId="77777777" w:rsidR="009C5AEA" w:rsidRDefault="009C5AEA" w:rsidP="00DE78B3"/>
    <w:p w14:paraId="4E4BDDDF" w14:textId="77777777" w:rsidR="009C5AEA" w:rsidRDefault="009C5AEA" w:rsidP="00DE78B3"/>
    <w:p w14:paraId="4F8BA407" w14:textId="77777777" w:rsidR="009C5AEA" w:rsidRDefault="009C5AEA" w:rsidP="00DE78B3"/>
    <w:p w14:paraId="3B208F96" w14:textId="77777777" w:rsidR="009C5AEA" w:rsidRDefault="009C5AEA" w:rsidP="00DE78B3"/>
    <w:p w14:paraId="6B314EAC" w14:textId="77777777" w:rsidR="009C5AEA" w:rsidRDefault="009C5AEA" w:rsidP="00DE78B3"/>
    <w:p w14:paraId="5DA40CE0" w14:textId="77777777" w:rsidR="009C5AEA" w:rsidRPr="00A176D8" w:rsidRDefault="00F52356" w:rsidP="00DE78B3">
      <w:pPr>
        <w:jc w:val="center"/>
      </w:pPr>
      <w:r w:rsidRPr="00A176D8">
        <w:rPr>
          <w:b/>
          <w:bCs/>
        </w:rPr>
        <w:t>ANNEXE III</w:t>
      </w:r>
    </w:p>
    <w:p w14:paraId="798ED8E5" w14:textId="77777777" w:rsidR="009C5AEA" w:rsidRDefault="009C5AEA" w:rsidP="00DE78B3"/>
    <w:p w14:paraId="7823BC21" w14:textId="77777777" w:rsidR="009C5AEA" w:rsidRDefault="00F52356" w:rsidP="00DE78B3">
      <w:pPr>
        <w:pStyle w:val="Title"/>
        <w:outlineLvl w:val="9"/>
      </w:pPr>
      <w:r>
        <w:t>ÉTIQUETAGE ET NOTICE</w:t>
      </w:r>
    </w:p>
    <w:p w14:paraId="0DF53068" w14:textId="77777777" w:rsidR="009C5AEA" w:rsidRDefault="00F52356" w:rsidP="00DE78B3">
      <w:r>
        <w:br w:type="page"/>
      </w:r>
    </w:p>
    <w:p w14:paraId="124EC759" w14:textId="0E09113F" w:rsidR="009C5AEA" w:rsidRDefault="009C5AEA" w:rsidP="00DE78B3"/>
    <w:p w14:paraId="0CE7544A" w14:textId="77777777" w:rsidR="008019CE" w:rsidRDefault="008019CE" w:rsidP="00DE78B3"/>
    <w:p w14:paraId="73425255" w14:textId="77777777" w:rsidR="009C5AEA" w:rsidRDefault="009C5AEA" w:rsidP="00DE78B3"/>
    <w:p w14:paraId="525D7F23" w14:textId="77777777" w:rsidR="009C5AEA" w:rsidRDefault="009C5AEA" w:rsidP="00DE78B3"/>
    <w:p w14:paraId="67E35015" w14:textId="77777777" w:rsidR="009C5AEA" w:rsidRDefault="009C5AEA" w:rsidP="00DE78B3"/>
    <w:p w14:paraId="168424D3" w14:textId="77777777" w:rsidR="009C5AEA" w:rsidRDefault="009C5AEA" w:rsidP="00DE78B3"/>
    <w:p w14:paraId="66857B68" w14:textId="77777777" w:rsidR="009C5AEA" w:rsidRDefault="009C5AEA" w:rsidP="00DE78B3"/>
    <w:p w14:paraId="29DC2CEF" w14:textId="77777777" w:rsidR="009C5AEA" w:rsidRDefault="009C5AEA" w:rsidP="00DE78B3"/>
    <w:p w14:paraId="7EB492BB" w14:textId="77777777" w:rsidR="009C5AEA" w:rsidRDefault="009C5AEA" w:rsidP="00DE78B3"/>
    <w:p w14:paraId="706DFBD4" w14:textId="77777777" w:rsidR="009C5AEA" w:rsidRDefault="009C5AEA" w:rsidP="00DE78B3"/>
    <w:p w14:paraId="4662E36F" w14:textId="77777777" w:rsidR="009C5AEA" w:rsidRDefault="009C5AEA" w:rsidP="00DE78B3"/>
    <w:p w14:paraId="5ABBF70F" w14:textId="77777777" w:rsidR="009C5AEA" w:rsidRDefault="009C5AEA" w:rsidP="00DE78B3"/>
    <w:p w14:paraId="7801DD34" w14:textId="77777777" w:rsidR="009C5AEA" w:rsidRDefault="009C5AEA" w:rsidP="00DE78B3"/>
    <w:p w14:paraId="7A8FFD29" w14:textId="77777777" w:rsidR="009C5AEA" w:rsidRDefault="009C5AEA" w:rsidP="00DE78B3"/>
    <w:p w14:paraId="00F0160B" w14:textId="77777777" w:rsidR="009C5AEA" w:rsidRDefault="009C5AEA" w:rsidP="00DE78B3"/>
    <w:p w14:paraId="158A5920" w14:textId="77777777" w:rsidR="009C5AEA" w:rsidRDefault="009C5AEA" w:rsidP="00DE78B3"/>
    <w:p w14:paraId="7789CBC8" w14:textId="77777777" w:rsidR="009C5AEA" w:rsidRDefault="009C5AEA" w:rsidP="00DE78B3"/>
    <w:p w14:paraId="7C5BB4F8" w14:textId="77777777" w:rsidR="009C5AEA" w:rsidRDefault="009C5AEA" w:rsidP="00DE78B3"/>
    <w:p w14:paraId="653A99AF" w14:textId="77777777" w:rsidR="009C5AEA" w:rsidRDefault="009C5AEA" w:rsidP="00DE78B3"/>
    <w:p w14:paraId="1426B7B4" w14:textId="77777777" w:rsidR="009C5AEA" w:rsidRDefault="009C5AEA" w:rsidP="00DE78B3"/>
    <w:p w14:paraId="2C6221CC" w14:textId="77777777" w:rsidR="009C5AEA" w:rsidRDefault="009C5AEA" w:rsidP="00DE78B3"/>
    <w:p w14:paraId="4BB76BCC" w14:textId="77777777" w:rsidR="009C5AEA" w:rsidRDefault="009C5AEA" w:rsidP="00DE78B3"/>
    <w:p w14:paraId="56AF3F09" w14:textId="77777777" w:rsidR="009C5AEA" w:rsidRDefault="009C5AEA" w:rsidP="00DE78B3"/>
    <w:p w14:paraId="1C121284" w14:textId="77777777" w:rsidR="009C5AEA" w:rsidRDefault="00F52356" w:rsidP="00903F7D">
      <w:pPr>
        <w:pStyle w:val="TitleA"/>
      </w:pPr>
      <w:r>
        <w:t>A. ÉTIQUETAGE</w:t>
      </w:r>
    </w:p>
    <w:p w14:paraId="6E92807D" w14:textId="77777777" w:rsidR="009C5AEA" w:rsidRDefault="00F52356" w:rsidP="00DE78B3">
      <w:pPr>
        <w:pStyle w:val="Heading1LAB"/>
        <w:outlineLvl w:val="9"/>
      </w:pPr>
      <w:r>
        <w:br w:type="page"/>
      </w:r>
      <w:r>
        <w:lastRenderedPageBreak/>
        <w:t>MENTIONS DEVANT FIGURER SUR L’EMBALLAGE EXTÉRIEUR</w:t>
      </w:r>
    </w:p>
    <w:p w14:paraId="05581DB8" w14:textId="77777777" w:rsidR="009C5AEA" w:rsidRDefault="009C5AEA" w:rsidP="00DE78B3">
      <w:pPr>
        <w:pStyle w:val="Heading1LAB"/>
        <w:outlineLvl w:val="9"/>
      </w:pPr>
    </w:p>
    <w:p w14:paraId="2078DB4F" w14:textId="77777777" w:rsidR="009C5AEA" w:rsidRDefault="00F52356" w:rsidP="00DE78B3">
      <w:pPr>
        <w:pStyle w:val="Heading1LAB"/>
        <w:outlineLvl w:val="9"/>
      </w:pPr>
      <w:r>
        <w:t>Boîte en carton unique</w:t>
      </w:r>
    </w:p>
    <w:p w14:paraId="578239C5" w14:textId="77777777" w:rsidR="009C5AEA" w:rsidRDefault="009C5AEA" w:rsidP="00DE78B3"/>
    <w:p w14:paraId="39EF0CC3" w14:textId="77777777" w:rsidR="009C5AEA" w:rsidRDefault="009C5AEA" w:rsidP="00DE78B3"/>
    <w:p w14:paraId="22C978A5" w14:textId="77777777" w:rsidR="009C5AEA" w:rsidRDefault="00F52356" w:rsidP="00DE78B3">
      <w:pPr>
        <w:pStyle w:val="Heading1LAB"/>
        <w:outlineLvl w:val="9"/>
      </w:pPr>
      <w:r>
        <w:t>1.</w:t>
      </w:r>
      <w:r>
        <w:tab/>
        <w:t>DÉNOMINATION DU MÉDICAMENT</w:t>
      </w:r>
    </w:p>
    <w:p w14:paraId="262629AF" w14:textId="77777777" w:rsidR="009C5AEA" w:rsidRDefault="009C5AEA" w:rsidP="00DE78B3">
      <w:pPr>
        <w:keepNext/>
      </w:pPr>
    </w:p>
    <w:p w14:paraId="2119ECF4" w14:textId="77777777" w:rsidR="009C5AEA" w:rsidRDefault="00F52356" w:rsidP="00DE78B3">
      <w:r>
        <w:t>Vaxchora</w:t>
      </w:r>
    </w:p>
    <w:p w14:paraId="7AA3FFF7" w14:textId="615FD3DC" w:rsidR="009C5AEA" w:rsidRDefault="00F52356" w:rsidP="00DE78B3">
      <w:r>
        <w:t xml:space="preserve">Poudre effervescente et poudre pour suspension </w:t>
      </w:r>
      <w:r w:rsidR="002246EA">
        <w:t>buvable</w:t>
      </w:r>
    </w:p>
    <w:p w14:paraId="009F90D5" w14:textId="344F90E4" w:rsidR="009C5AEA" w:rsidRDefault="00F52356" w:rsidP="00DE78B3">
      <w:r>
        <w:t xml:space="preserve">Vaccin </w:t>
      </w:r>
      <w:r w:rsidR="00CE1511">
        <w:t xml:space="preserve">contre le choléra </w:t>
      </w:r>
      <w:r>
        <w:t>(vivant, recombiné, oral)</w:t>
      </w:r>
    </w:p>
    <w:p w14:paraId="0483F6A7" w14:textId="77777777" w:rsidR="009C5AEA" w:rsidRDefault="009C5AEA" w:rsidP="00DE78B3"/>
    <w:p w14:paraId="559A0BC8" w14:textId="77777777" w:rsidR="009C5AEA" w:rsidRDefault="009C5AEA" w:rsidP="00DE78B3"/>
    <w:p w14:paraId="11C2D5F4" w14:textId="77777777" w:rsidR="009C5AEA" w:rsidRDefault="00F52356" w:rsidP="00DE78B3">
      <w:pPr>
        <w:pStyle w:val="Heading1LAB"/>
        <w:outlineLvl w:val="9"/>
      </w:pPr>
      <w:r>
        <w:t>2.</w:t>
      </w:r>
      <w:r>
        <w:tab/>
        <w:t>COMPOSITION EN SUBSTANCE(S) ACTIVE(S)</w:t>
      </w:r>
    </w:p>
    <w:p w14:paraId="7A96A124" w14:textId="77777777" w:rsidR="009C5AEA" w:rsidRDefault="009C5AEA" w:rsidP="00DE78B3">
      <w:pPr>
        <w:keepNext/>
      </w:pPr>
    </w:p>
    <w:p w14:paraId="7FB0E86C" w14:textId="322C0D54" w:rsidR="009C5AEA" w:rsidRDefault="00F52356" w:rsidP="00DE78B3">
      <w:r>
        <w:t>4 ×</w:t>
      </w:r>
      <w:r w:rsidR="00A3285B">
        <w:t> </w:t>
      </w:r>
      <w:r>
        <w:t>10</w:t>
      </w:r>
      <w:r>
        <w:rPr>
          <w:rStyle w:val="Superscript"/>
        </w:rPr>
        <w:t>8</w:t>
      </w:r>
      <w:r>
        <w:t xml:space="preserve"> à 2 ×</w:t>
      </w:r>
      <w:r w:rsidR="00A3285B">
        <w:t> </w:t>
      </w:r>
      <w:r>
        <w:t>10</w:t>
      </w:r>
      <w:r>
        <w:rPr>
          <w:rStyle w:val="Superscript"/>
        </w:rPr>
        <w:t>9</w:t>
      </w:r>
      <w:r w:rsidR="001408F7">
        <w:t> </w:t>
      </w:r>
      <w:r>
        <w:t xml:space="preserve">cellules viables de la souche CVD 103-HgR de </w:t>
      </w:r>
      <w:r>
        <w:rPr>
          <w:rStyle w:val="Emphasis"/>
        </w:rPr>
        <w:t>V</w:t>
      </w:r>
      <w:r w:rsidR="00C058C2">
        <w:rPr>
          <w:rStyle w:val="Emphasis"/>
        </w:rPr>
        <w:t>ibrio</w:t>
      </w:r>
      <w:r>
        <w:t> </w:t>
      </w:r>
      <w:r>
        <w:rPr>
          <w:rStyle w:val="Emphasis"/>
        </w:rPr>
        <w:t>cholerae</w:t>
      </w:r>
      <w:r>
        <w:t>.</w:t>
      </w:r>
    </w:p>
    <w:p w14:paraId="40D16B4C" w14:textId="77777777" w:rsidR="009C5AEA" w:rsidRDefault="009C5AEA" w:rsidP="00DE78B3"/>
    <w:p w14:paraId="3D0E2A63" w14:textId="77777777" w:rsidR="009C5AEA" w:rsidRDefault="009C5AEA" w:rsidP="00DE78B3"/>
    <w:p w14:paraId="637CE165" w14:textId="77777777" w:rsidR="009C5AEA" w:rsidRDefault="00F52356" w:rsidP="00DE78B3">
      <w:pPr>
        <w:pStyle w:val="Heading1LAB"/>
        <w:outlineLvl w:val="9"/>
      </w:pPr>
      <w:r>
        <w:t>3.</w:t>
      </w:r>
      <w:r>
        <w:tab/>
        <w:t>LISTE DES EXCIPIENTS</w:t>
      </w:r>
    </w:p>
    <w:p w14:paraId="48DFB9D4" w14:textId="77777777" w:rsidR="009C5AEA" w:rsidRDefault="009C5AEA" w:rsidP="00DE78B3">
      <w:pPr>
        <w:keepNext/>
      </w:pPr>
    </w:p>
    <w:p w14:paraId="49E8E78F" w14:textId="77777777" w:rsidR="009C5AEA" w:rsidRDefault="00F52356" w:rsidP="00DE78B3">
      <w:r>
        <w:t xml:space="preserve">Contient du saccharose, du lactose et du sodium. </w:t>
      </w:r>
      <w:r w:rsidRPr="001C6373">
        <w:rPr>
          <w:highlight w:val="lightGray"/>
        </w:rPr>
        <w:t>Voir la notice pour plus d’informations.</w:t>
      </w:r>
    </w:p>
    <w:p w14:paraId="07084839" w14:textId="77777777" w:rsidR="009C5AEA" w:rsidRDefault="009C5AEA" w:rsidP="00DE78B3"/>
    <w:p w14:paraId="63C75C11" w14:textId="77777777" w:rsidR="009C5AEA" w:rsidRDefault="009C5AEA" w:rsidP="00DE78B3"/>
    <w:p w14:paraId="7223DC34" w14:textId="77777777" w:rsidR="009C5AEA" w:rsidRDefault="00F52356" w:rsidP="00DE78B3">
      <w:pPr>
        <w:pStyle w:val="Heading1LAB"/>
        <w:outlineLvl w:val="9"/>
      </w:pPr>
      <w:r>
        <w:t>4.</w:t>
      </w:r>
      <w:r>
        <w:tab/>
        <w:t>FORME PHARMACEUTIQUE ET CONTENU</w:t>
      </w:r>
    </w:p>
    <w:p w14:paraId="64C3A389" w14:textId="77777777" w:rsidR="009C5AEA" w:rsidRDefault="009C5AEA" w:rsidP="00DE78B3">
      <w:pPr>
        <w:keepNext/>
      </w:pPr>
    </w:p>
    <w:p w14:paraId="157E48D1" w14:textId="53508912" w:rsidR="00C058C2" w:rsidRPr="00AD6E27" w:rsidRDefault="00C058C2" w:rsidP="00DE78B3">
      <w:pPr>
        <w:rPr>
          <w:highlight w:val="lightGray"/>
        </w:rPr>
      </w:pPr>
      <w:r w:rsidRPr="00AD6E27">
        <w:rPr>
          <w:highlight w:val="lightGray"/>
        </w:rPr>
        <w:t>Poudre effervescente et poudre pour suspension buvable</w:t>
      </w:r>
    </w:p>
    <w:p w14:paraId="4065A74B" w14:textId="5EEF1826" w:rsidR="009C5AEA" w:rsidRDefault="00F52356" w:rsidP="00DE78B3">
      <w:r>
        <w:t xml:space="preserve">1 sachet de poudre pour suspension </w:t>
      </w:r>
      <w:r w:rsidR="002246EA">
        <w:t>buvable</w:t>
      </w:r>
    </w:p>
    <w:p w14:paraId="16CFD100" w14:textId="77777777" w:rsidR="009C5AEA" w:rsidRDefault="00F52356" w:rsidP="00DE78B3">
      <w:r>
        <w:t>1 sachet de poudre effervescente</w:t>
      </w:r>
    </w:p>
    <w:p w14:paraId="3D919DEE" w14:textId="77777777" w:rsidR="009C5AEA" w:rsidRDefault="00F52356" w:rsidP="00DE78B3">
      <w:r>
        <w:t>Une dose</w:t>
      </w:r>
    </w:p>
    <w:p w14:paraId="16647E64" w14:textId="77777777" w:rsidR="009C5AEA" w:rsidRDefault="009C5AEA" w:rsidP="00DE78B3"/>
    <w:p w14:paraId="28518E62" w14:textId="77777777" w:rsidR="009C5AEA" w:rsidRDefault="009C5AEA" w:rsidP="00DE78B3"/>
    <w:p w14:paraId="5BD00716" w14:textId="77777777" w:rsidR="009C5AEA" w:rsidRDefault="00F52356" w:rsidP="00DE78B3">
      <w:pPr>
        <w:pStyle w:val="Heading1LAB"/>
        <w:outlineLvl w:val="9"/>
      </w:pPr>
      <w:r>
        <w:t>5.</w:t>
      </w:r>
      <w:r>
        <w:tab/>
        <w:t>MODE ET VOIE(S) D’ADMINISTRATION</w:t>
      </w:r>
    </w:p>
    <w:p w14:paraId="56ACCDC1" w14:textId="77777777" w:rsidR="009C5AEA" w:rsidRDefault="009C5AEA" w:rsidP="00DE78B3">
      <w:pPr>
        <w:keepNext/>
      </w:pPr>
    </w:p>
    <w:p w14:paraId="3E5E3B22" w14:textId="77777777" w:rsidR="009C5AEA" w:rsidRDefault="00F52356" w:rsidP="00DE78B3">
      <w:r>
        <w:t>Lire la notice avant utilisation.</w:t>
      </w:r>
    </w:p>
    <w:p w14:paraId="400F4EE9" w14:textId="41A0E710" w:rsidR="009C5AEA" w:rsidRDefault="00F52356" w:rsidP="00DE78B3">
      <w:r>
        <w:t xml:space="preserve">Mélanger la poudre effervescente (sachet </w:t>
      </w:r>
      <w:r w:rsidR="00686F88">
        <w:t>n</w:t>
      </w:r>
      <w:r w:rsidR="00D3002F">
        <w:t>º </w:t>
      </w:r>
      <w:r>
        <w:t>1) avec de l’eau en bouteille</w:t>
      </w:r>
      <w:r w:rsidR="00D149E4">
        <w:t xml:space="preserve"> (</w:t>
      </w:r>
      <w:r w:rsidR="00D149E4" w:rsidRPr="00D149E4">
        <w:t xml:space="preserve">pour les enfants </w:t>
      </w:r>
      <w:r w:rsidR="00D149E4">
        <w:t xml:space="preserve">âgés de </w:t>
      </w:r>
      <w:r w:rsidR="008F449B">
        <w:t>2</w:t>
      </w:r>
      <w:r w:rsidR="00C058C2">
        <w:t> </w:t>
      </w:r>
      <w:r w:rsidR="008F449B">
        <w:t>ans à moins</w:t>
      </w:r>
      <w:r w:rsidR="00D149E4">
        <w:t xml:space="preserve"> de 6 </w:t>
      </w:r>
      <w:r w:rsidR="00D149E4" w:rsidRPr="00D149E4">
        <w:t xml:space="preserve">ans </w:t>
      </w:r>
      <w:r w:rsidR="00D149E4">
        <w:t>UNIQUEMENT</w:t>
      </w:r>
      <w:r w:rsidR="00D149E4" w:rsidRPr="00D149E4">
        <w:t xml:space="preserve">, </w:t>
      </w:r>
      <w:r w:rsidR="00D149E4">
        <w:t>éliminer</w:t>
      </w:r>
      <w:r w:rsidR="00D149E4" w:rsidRPr="00D149E4">
        <w:t xml:space="preserve"> la moitié de la solution)</w:t>
      </w:r>
      <w:r>
        <w:t>, puis ajouter l</w:t>
      </w:r>
      <w:r w:rsidR="00E160D8">
        <w:t>e</w:t>
      </w:r>
      <w:r>
        <w:t xml:space="preserve"> </w:t>
      </w:r>
      <w:r w:rsidR="00E160D8">
        <w:t>principe actif</w:t>
      </w:r>
      <w:r>
        <w:t xml:space="preserve"> (sachet </w:t>
      </w:r>
      <w:r w:rsidR="00686F88">
        <w:t>n</w:t>
      </w:r>
      <w:r w:rsidR="00D3002F">
        <w:t>º </w:t>
      </w:r>
      <w:r>
        <w:t>2) et mélanger le tout avant administration.</w:t>
      </w:r>
    </w:p>
    <w:p w14:paraId="26530608" w14:textId="77777777" w:rsidR="009C5AEA" w:rsidRDefault="00F52356" w:rsidP="00DE78B3">
      <w:r>
        <w:t>Voie orale.</w:t>
      </w:r>
    </w:p>
    <w:p w14:paraId="5A1B1C06" w14:textId="77777777" w:rsidR="009C5AEA" w:rsidRDefault="009C5AEA" w:rsidP="00DE78B3"/>
    <w:p w14:paraId="5D0EF815" w14:textId="77777777" w:rsidR="009C5AEA" w:rsidRDefault="009C5AEA" w:rsidP="00DE78B3"/>
    <w:p w14:paraId="225018AB" w14:textId="77777777" w:rsidR="009C5AEA" w:rsidRDefault="00F52356" w:rsidP="00DE78B3">
      <w:pPr>
        <w:pStyle w:val="Heading1LAB"/>
        <w:outlineLvl w:val="9"/>
      </w:pPr>
      <w:r>
        <w:t>6.</w:t>
      </w:r>
      <w:r>
        <w:tab/>
        <w:t>MISE EN GARDE SPÉCIALE INDIQUANT QUE LE MÉDICAMENT DOIT ÊTRE CONSERVÉ HORS DE VUE ET DE PORTÉE DES ENFANTS</w:t>
      </w:r>
    </w:p>
    <w:p w14:paraId="75CF2632" w14:textId="77777777" w:rsidR="009C5AEA" w:rsidRDefault="009C5AEA" w:rsidP="00DE78B3">
      <w:pPr>
        <w:keepNext/>
      </w:pPr>
    </w:p>
    <w:p w14:paraId="26F93058" w14:textId="77777777" w:rsidR="009C5AEA" w:rsidRDefault="00F52356" w:rsidP="00DE78B3">
      <w:r>
        <w:t>Tenir hors de la vue et de la portée des enfants.</w:t>
      </w:r>
    </w:p>
    <w:p w14:paraId="40C07443" w14:textId="77777777" w:rsidR="009C5AEA" w:rsidRDefault="009C5AEA" w:rsidP="00DE78B3"/>
    <w:p w14:paraId="32391571" w14:textId="77777777" w:rsidR="009C5AEA" w:rsidRDefault="009C5AEA" w:rsidP="00DE78B3"/>
    <w:p w14:paraId="52F8677E" w14:textId="77777777" w:rsidR="009C5AEA" w:rsidRDefault="00F52356" w:rsidP="00DE78B3">
      <w:pPr>
        <w:pStyle w:val="Heading1LAB"/>
        <w:outlineLvl w:val="9"/>
      </w:pPr>
      <w:r>
        <w:t>7.</w:t>
      </w:r>
      <w:r>
        <w:tab/>
        <w:t>AUTRE(S) MISE(S) EN GARDE SPÉCIALE(S), SI NÉCESSAIRE</w:t>
      </w:r>
    </w:p>
    <w:p w14:paraId="1EA725A4" w14:textId="77777777" w:rsidR="009C5AEA" w:rsidRDefault="009C5AEA" w:rsidP="00DE78B3">
      <w:pPr>
        <w:keepNext/>
      </w:pPr>
    </w:p>
    <w:p w14:paraId="15236691" w14:textId="77777777" w:rsidR="009C5AEA" w:rsidRDefault="009C5AEA" w:rsidP="00DE78B3"/>
    <w:p w14:paraId="0A229209" w14:textId="77777777" w:rsidR="009C5AEA" w:rsidRDefault="00F52356" w:rsidP="00DE78B3">
      <w:pPr>
        <w:pStyle w:val="Heading1LAB"/>
        <w:outlineLvl w:val="9"/>
      </w:pPr>
      <w:r>
        <w:t>8.</w:t>
      </w:r>
      <w:r>
        <w:tab/>
        <w:t>DATE DE PÉREMPTION</w:t>
      </w:r>
    </w:p>
    <w:p w14:paraId="6B491013" w14:textId="77777777" w:rsidR="009C5AEA" w:rsidRDefault="009C5AEA" w:rsidP="00DE78B3">
      <w:pPr>
        <w:keepNext/>
      </w:pPr>
    </w:p>
    <w:p w14:paraId="6CFA9A91" w14:textId="77777777" w:rsidR="009C5AEA" w:rsidRDefault="00F52356" w:rsidP="00DE78B3">
      <w:r>
        <w:t>EXP</w:t>
      </w:r>
    </w:p>
    <w:p w14:paraId="65089BA5" w14:textId="77777777" w:rsidR="009C5AEA" w:rsidRDefault="009C5AEA" w:rsidP="00DE78B3"/>
    <w:p w14:paraId="1647E33C" w14:textId="77777777" w:rsidR="009C5AEA" w:rsidRDefault="009C5AEA" w:rsidP="00DE78B3"/>
    <w:p w14:paraId="5EE5238D" w14:textId="77777777" w:rsidR="009C5AEA" w:rsidRDefault="00F52356" w:rsidP="00DE78B3">
      <w:pPr>
        <w:pStyle w:val="Heading1LAB"/>
        <w:outlineLvl w:val="9"/>
      </w:pPr>
      <w:r>
        <w:lastRenderedPageBreak/>
        <w:t>9.</w:t>
      </w:r>
      <w:r>
        <w:tab/>
        <w:t>PRÉCAUTIONS PARTICULIÈRES DE CONSERVATION</w:t>
      </w:r>
    </w:p>
    <w:p w14:paraId="1791BF40" w14:textId="77777777" w:rsidR="009C5AEA" w:rsidRDefault="009C5AEA" w:rsidP="00DE78B3">
      <w:pPr>
        <w:keepNext/>
      </w:pPr>
    </w:p>
    <w:p w14:paraId="4D62CAB9" w14:textId="77777777" w:rsidR="009C5AEA" w:rsidRDefault="00F52356" w:rsidP="00DE78B3">
      <w:r>
        <w:t>À conserver au réfrigérateur.</w:t>
      </w:r>
    </w:p>
    <w:p w14:paraId="6207F831" w14:textId="7D4D3686" w:rsidR="009C5AEA" w:rsidRDefault="00C058C2" w:rsidP="00DE78B3">
      <w:r>
        <w:t>À conserver dans l’emballage d’origine, à l’abri de la lumière et de l’humidité.</w:t>
      </w:r>
    </w:p>
    <w:p w14:paraId="0E22CAD2" w14:textId="77777777" w:rsidR="00C058C2" w:rsidRDefault="00C058C2" w:rsidP="00DE78B3"/>
    <w:p w14:paraId="66C95999" w14:textId="77777777" w:rsidR="009C5AEA" w:rsidRDefault="009C5AEA" w:rsidP="00DE78B3"/>
    <w:p w14:paraId="557F2EB4" w14:textId="77777777" w:rsidR="009C5AEA" w:rsidRDefault="00F52356" w:rsidP="00DE78B3">
      <w:pPr>
        <w:pStyle w:val="Heading1LAB"/>
        <w:outlineLvl w:val="9"/>
      </w:pPr>
      <w:r>
        <w:t>10.</w:t>
      </w:r>
      <w:r>
        <w:tab/>
        <w:t>PRÉCAUTIONS PARTICULIÈRES D’ÉLIMINATION DES MÉDICAMENTS NON UTILISÉS OU DES DÉCHETS PROVENANT DE CES MÉDICAMENTS S’IL Y A LIEU</w:t>
      </w:r>
    </w:p>
    <w:p w14:paraId="0B2F8D5B" w14:textId="77777777" w:rsidR="009C5AEA" w:rsidRDefault="009C5AEA" w:rsidP="00DE78B3">
      <w:pPr>
        <w:keepNext/>
      </w:pPr>
    </w:p>
    <w:p w14:paraId="3A4E86FE" w14:textId="0585F31A" w:rsidR="009C5AEA" w:rsidRDefault="00F52356" w:rsidP="00DE78B3">
      <w:r>
        <w:t xml:space="preserve">Ce médicament contient des organismes génétiquement modifiés (OGM). Les médicaments non utilisés </w:t>
      </w:r>
      <w:r w:rsidR="00C058C2">
        <w:t xml:space="preserve">et déchets </w:t>
      </w:r>
      <w:r>
        <w:t>doivent être éliminés conformément aux directives en vigueur à l’échelle locale en matière de biosécurité.</w:t>
      </w:r>
    </w:p>
    <w:p w14:paraId="719D9B2F" w14:textId="77777777" w:rsidR="009C5AEA" w:rsidRDefault="009C5AEA" w:rsidP="00DE78B3"/>
    <w:p w14:paraId="46573CE8" w14:textId="77777777" w:rsidR="009C5AEA" w:rsidRDefault="009C5AEA" w:rsidP="00DE78B3"/>
    <w:p w14:paraId="1BC85A3D" w14:textId="77777777" w:rsidR="009C5AEA" w:rsidRDefault="00F52356" w:rsidP="00DE78B3">
      <w:pPr>
        <w:pStyle w:val="Heading1LAB"/>
        <w:outlineLvl w:val="9"/>
      </w:pPr>
      <w:r>
        <w:t>11.</w:t>
      </w:r>
      <w:r>
        <w:tab/>
        <w:t>NOM ET ADRESSE DU TITULAIRE DE L’AUTORISATION DE MISE SUR LE MARCHÉ</w:t>
      </w:r>
    </w:p>
    <w:p w14:paraId="703A9459" w14:textId="77777777" w:rsidR="009C5AEA" w:rsidRDefault="009C5AEA" w:rsidP="00DE78B3">
      <w:pPr>
        <w:keepNext/>
      </w:pPr>
    </w:p>
    <w:p w14:paraId="1DC713D7" w14:textId="77777777" w:rsidR="00BC0497" w:rsidRPr="00BC0497" w:rsidRDefault="00BC0497" w:rsidP="00DE78B3">
      <w:pPr>
        <w:rPr>
          <w:lang w:val="en-US"/>
        </w:rPr>
      </w:pPr>
      <w:r w:rsidRPr="00BC0497">
        <w:rPr>
          <w:lang w:val="en-US"/>
        </w:rPr>
        <w:t>Bavarian Nordic A/S</w:t>
      </w:r>
    </w:p>
    <w:p w14:paraId="7950E396" w14:textId="77777777" w:rsidR="00BC0497" w:rsidRPr="00BC0497" w:rsidRDefault="00BC0497" w:rsidP="00DE78B3">
      <w:pPr>
        <w:rPr>
          <w:lang w:val="en-US"/>
        </w:rPr>
      </w:pPr>
      <w:r w:rsidRPr="00BC0497">
        <w:rPr>
          <w:lang w:val="en-US"/>
        </w:rPr>
        <w:t>Philip Heymans Alle 3</w:t>
      </w:r>
    </w:p>
    <w:p w14:paraId="2F37F272" w14:textId="77777777" w:rsidR="00BC0497" w:rsidRPr="00BC0497" w:rsidRDefault="00BC0497" w:rsidP="00DE78B3">
      <w:pPr>
        <w:rPr>
          <w:lang w:val="fr-CH"/>
        </w:rPr>
      </w:pPr>
      <w:r w:rsidRPr="00BC0497">
        <w:rPr>
          <w:lang w:val="fr-CH"/>
        </w:rPr>
        <w:t xml:space="preserve">DK-2900 </w:t>
      </w:r>
      <w:proofErr w:type="spellStart"/>
      <w:r w:rsidRPr="00BC0497">
        <w:rPr>
          <w:lang w:val="fr-CH"/>
        </w:rPr>
        <w:t>Hellerup</w:t>
      </w:r>
      <w:proofErr w:type="spellEnd"/>
    </w:p>
    <w:p w14:paraId="41DE9FB0" w14:textId="50BDA23B" w:rsidR="009C5AEA" w:rsidRDefault="00BC0497" w:rsidP="00DE78B3">
      <w:r w:rsidRPr="00BC0497">
        <w:rPr>
          <w:lang w:val="fr-CH"/>
        </w:rPr>
        <w:t>Danemark</w:t>
      </w:r>
    </w:p>
    <w:p w14:paraId="14A0F92F" w14:textId="77777777" w:rsidR="009C5AEA" w:rsidRDefault="009C5AEA" w:rsidP="00DE78B3"/>
    <w:p w14:paraId="0C21D3C8" w14:textId="77777777" w:rsidR="00C058C2" w:rsidRDefault="00C058C2" w:rsidP="00DE78B3"/>
    <w:p w14:paraId="7E84362B" w14:textId="77777777" w:rsidR="009C5AEA" w:rsidRDefault="00F52356" w:rsidP="00DE78B3">
      <w:pPr>
        <w:pStyle w:val="Heading1LAB"/>
        <w:outlineLvl w:val="9"/>
      </w:pPr>
      <w:r>
        <w:t>12.</w:t>
      </w:r>
      <w:r>
        <w:tab/>
        <w:t>NUMÉRO(S) D’AUTORISATION DE MISE SUR LE MARCHÉ</w:t>
      </w:r>
    </w:p>
    <w:p w14:paraId="311F155F" w14:textId="77777777" w:rsidR="009C5AEA" w:rsidRDefault="009C5AEA" w:rsidP="00DE78B3">
      <w:pPr>
        <w:keepNext/>
      </w:pPr>
    </w:p>
    <w:p w14:paraId="108399D5" w14:textId="77777777" w:rsidR="009C5AEA" w:rsidRDefault="00F52356" w:rsidP="00DE78B3">
      <w:r>
        <w:t>EU/1/20/1423/001</w:t>
      </w:r>
    </w:p>
    <w:p w14:paraId="23B13C53" w14:textId="77777777" w:rsidR="009C5AEA" w:rsidRDefault="009C5AEA" w:rsidP="00DE78B3"/>
    <w:p w14:paraId="6163FB9D" w14:textId="77777777" w:rsidR="009C5AEA" w:rsidRDefault="009C5AEA" w:rsidP="00DE78B3"/>
    <w:p w14:paraId="53B8B078" w14:textId="77777777" w:rsidR="009C5AEA" w:rsidRDefault="00F52356" w:rsidP="00DE78B3">
      <w:pPr>
        <w:pStyle w:val="Heading1LAB"/>
        <w:outlineLvl w:val="9"/>
      </w:pPr>
      <w:r>
        <w:t>13.</w:t>
      </w:r>
      <w:r>
        <w:tab/>
        <w:t>NUMÉRO DU LOT</w:t>
      </w:r>
    </w:p>
    <w:p w14:paraId="6F56BDCA" w14:textId="77777777" w:rsidR="009C5AEA" w:rsidRDefault="009C5AEA" w:rsidP="00DE78B3">
      <w:pPr>
        <w:keepNext/>
      </w:pPr>
    </w:p>
    <w:p w14:paraId="6DBBD22F" w14:textId="77777777" w:rsidR="009C5AEA" w:rsidRDefault="00F52356" w:rsidP="00DE78B3">
      <w:r>
        <w:t>Lot</w:t>
      </w:r>
    </w:p>
    <w:p w14:paraId="597B532D" w14:textId="77777777" w:rsidR="009C5AEA" w:rsidRDefault="009C5AEA" w:rsidP="00DE78B3"/>
    <w:p w14:paraId="6B32DA29" w14:textId="77777777" w:rsidR="009C5AEA" w:rsidRDefault="009C5AEA" w:rsidP="00DE78B3"/>
    <w:p w14:paraId="18E8378E" w14:textId="77777777" w:rsidR="009C5AEA" w:rsidRDefault="00F52356" w:rsidP="00DE78B3">
      <w:pPr>
        <w:pStyle w:val="Heading1LAB"/>
        <w:outlineLvl w:val="9"/>
      </w:pPr>
      <w:r>
        <w:t>14.</w:t>
      </w:r>
      <w:r>
        <w:tab/>
        <w:t>CONDITIONS DE PRESCRIPTION ET DE DÉLIVRANCE</w:t>
      </w:r>
    </w:p>
    <w:p w14:paraId="0B6F0047" w14:textId="77777777" w:rsidR="009C5AEA" w:rsidRDefault="009C5AEA" w:rsidP="00DE78B3"/>
    <w:p w14:paraId="3C6A6581" w14:textId="77777777" w:rsidR="009C5AEA" w:rsidRDefault="009C5AEA" w:rsidP="00DE78B3"/>
    <w:p w14:paraId="58C4EB2A" w14:textId="77777777" w:rsidR="009C5AEA" w:rsidRDefault="00F52356" w:rsidP="00DE78B3">
      <w:pPr>
        <w:pStyle w:val="Heading1LAB"/>
        <w:outlineLvl w:val="9"/>
      </w:pPr>
      <w:r>
        <w:t>15.</w:t>
      </w:r>
      <w:r>
        <w:tab/>
        <w:t>INDICATIONS D’UTILISATION</w:t>
      </w:r>
    </w:p>
    <w:p w14:paraId="157E9A47" w14:textId="77777777" w:rsidR="009C5AEA" w:rsidRDefault="009C5AEA" w:rsidP="00DE78B3">
      <w:pPr>
        <w:keepNext/>
      </w:pPr>
    </w:p>
    <w:p w14:paraId="2AC22924" w14:textId="77777777" w:rsidR="009C5AEA" w:rsidRDefault="009C5AEA" w:rsidP="00DE78B3"/>
    <w:p w14:paraId="75B1141B" w14:textId="77777777" w:rsidR="009C5AEA" w:rsidRDefault="00F52356" w:rsidP="00DE78B3">
      <w:pPr>
        <w:pStyle w:val="Heading1LAB"/>
        <w:outlineLvl w:val="9"/>
      </w:pPr>
      <w:r>
        <w:t>16.</w:t>
      </w:r>
      <w:r>
        <w:tab/>
        <w:t>INFORMATIONS EN BRAILLE</w:t>
      </w:r>
    </w:p>
    <w:p w14:paraId="255D3B55" w14:textId="77777777" w:rsidR="009C5AEA" w:rsidRDefault="009C5AEA" w:rsidP="00DE78B3">
      <w:pPr>
        <w:keepNext/>
      </w:pPr>
    </w:p>
    <w:p w14:paraId="04B9F889" w14:textId="77777777" w:rsidR="009C5AEA" w:rsidRDefault="00F52356" w:rsidP="00DE78B3">
      <w:r>
        <w:t>Vaxchora</w:t>
      </w:r>
    </w:p>
    <w:p w14:paraId="6D804C46" w14:textId="77777777" w:rsidR="009C5AEA" w:rsidRDefault="009C5AEA" w:rsidP="00DE78B3"/>
    <w:p w14:paraId="6DFB1595" w14:textId="77777777" w:rsidR="009C5AEA" w:rsidRDefault="009C5AEA" w:rsidP="00DE78B3"/>
    <w:p w14:paraId="5477F495" w14:textId="77777777" w:rsidR="009C5AEA" w:rsidRDefault="00F52356" w:rsidP="00DE78B3">
      <w:pPr>
        <w:pStyle w:val="Heading1LAB"/>
        <w:outlineLvl w:val="9"/>
      </w:pPr>
      <w:r>
        <w:t>17.</w:t>
      </w:r>
      <w:r>
        <w:tab/>
        <w:t>IDENTIFIANT UNIQUE – CODE-BARRES 2D</w:t>
      </w:r>
    </w:p>
    <w:p w14:paraId="18EED0EC" w14:textId="77777777" w:rsidR="009C5AEA" w:rsidRDefault="009C5AEA" w:rsidP="00DE78B3">
      <w:pPr>
        <w:keepNext/>
      </w:pPr>
    </w:p>
    <w:p w14:paraId="1CD1AA94" w14:textId="77777777" w:rsidR="009C5AEA" w:rsidRDefault="00D149E4" w:rsidP="00DE78B3">
      <w:r w:rsidRPr="001C6373">
        <w:rPr>
          <w:highlight w:val="lightGray"/>
        </w:rPr>
        <w:t>Code</w:t>
      </w:r>
      <w:r w:rsidR="00F52356" w:rsidRPr="001C6373">
        <w:rPr>
          <w:highlight w:val="lightGray"/>
        </w:rPr>
        <w:t>-barres 2D portant l’identifiant unique inclus.</w:t>
      </w:r>
    </w:p>
    <w:p w14:paraId="3289B620" w14:textId="77777777" w:rsidR="009C5AEA" w:rsidRDefault="009C5AEA" w:rsidP="00DE78B3"/>
    <w:p w14:paraId="681CB29A" w14:textId="77777777" w:rsidR="009C5AEA" w:rsidRDefault="009C5AEA" w:rsidP="00DE78B3"/>
    <w:p w14:paraId="2FFCBB00" w14:textId="77777777" w:rsidR="009C5AEA" w:rsidRDefault="00F52356" w:rsidP="00DE78B3">
      <w:pPr>
        <w:pStyle w:val="Heading1LAB"/>
        <w:outlineLvl w:val="9"/>
      </w:pPr>
      <w:r>
        <w:lastRenderedPageBreak/>
        <w:t>18.</w:t>
      </w:r>
      <w:r>
        <w:tab/>
        <w:t>IDENTIFIANT UNIQUE – DONNÉES LISIBLES PAR LES HUMAINS</w:t>
      </w:r>
    </w:p>
    <w:p w14:paraId="0D9ECEE9" w14:textId="77777777" w:rsidR="009C5AEA" w:rsidRDefault="009C5AEA" w:rsidP="00DE78B3">
      <w:pPr>
        <w:keepNext/>
      </w:pPr>
    </w:p>
    <w:p w14:paraId="2074874E" w14:textId="54CD281A" w:rsidR="009C5AEA" w:rsidRDefault="00F52356" w:rsidP="00DE78B3">
      <w:pPr>
        <w:keepNext/>
      </w:pPr>
      <w:r>
        <w:t>PC</w:t>
      </w:r>
    </w:p>
    <w:p w14:paraId="317779D4" w14:textId="5D885EBC" w:rsidR="009C5AEA" w:rsidRDefault="00F52356" w:rsidP="00DE78B3">
      <w:pPr>
        <w:keepNext/>
      </w:pPr>
      <w:r>
        <w:t>SN</w:t>
      </w:r>
    </w:p>
    <w:p w14:paraId="4F898039" w14:textId="53A744B6" w:rsidR="009C5AEA" w:rsidRDefault="00F52356" w:rsidP="00DE78B3">
      <w:r>
        <w:t>NN</w:t>
      </w:r>
    </w:p>
    <w:p w14:paraId="6908EC1D" w14:textId="77777777" w:rsidR="009C5AEA" w:rsidRDefault="00F52356" w:rsidP="00DE78B3">
      <w:pPr>
        <w:pStyle w:val="HeadingStrLAB"/>
      </w:pPr>
      <w:r>
        <w:br w:type="page"/>
      </w:r>
      <w:r>
        <w:lastRenderedPageBreak/>
        <w:t>MENTIONS MINIMALES DEVANT FIGURER SUR LES PETITS CONDITIONNEMENTS PRIMAIRES</w:t>
      </w:r>
    </w:p>
    <w:p w14:paraId="1656F379" w14:textId="77777777" w:rsidR="009C5AEA" w:rsidRDefault="009C5AEA" w:rsidP="00DE78B3">
      <w:pPr>
        <w:pStyle w:val="Heading1LAB"/>
        <w:outlineLvl w:val="9"/>
      </w:pPr>
    </w:p>
    <w:p w14:paraId="20C721C1" w14:textId="77777777" w:rsidR="009C5AEA" w:rsidRDefault="00F52356" w:rsidP="00DE78B3">
      <w:pPr>
        <w:pStyle w:val="Heading1LAB"/>
        <w:outlineLvl w:val="9"/>
      </w:pPr>
      <w:r>
        <w:t>Sachet</w:t>
      </w:r>
    </w:p>
    <w:p w14:paraId="1266B6D1" w14:textId="77777777" w:rsidR="009C5AEA" w:rsidRDefault="009C5AEA" w:rsidP="00DE78B3"/>
    <w:p w14:paraId="09803144" w14:textId="77777777" w:rsidR="009C5AEA" w:rsidRDefault="009C5AEA" w:rsidP="00DE78B3"/>
    <w:p w14:paraId="15EEC02B" w14:textId="77777777" w:rsidR="009C5AEA" w:rsidRDefault="00F52356" w:rsidP="00DE78B3">
      <w:pPr>
        <w:pStyle w:val="Heading1LAB"/>
        <w:outlineLvl w:val="9"/>
      </w:pPr>
      <w:r>
        <w:t>1.</w:t>
      </w:r>
      <w:r>
        <w:tab/>
        <w:t>DÉNOMINATION DU MÉDICAMENT ET VOIE(S) D’ADMINISTRATION</w:t>
      </w:r>
    </w:p>
    <w:p w14:paraId="034EE986" w14:textId="77777777" w:rsidR="009C5AEA" w:rsidRDefault="009C5AEA" w:rsidP="00DE78B3">
      <w:pPr>
        <w:keepNext/>
      </w:pPr>
    </w:p>
    <w:p w14:paraId="05615A21" w14:textId="77777777" w:rsidR="009C5AEA" w:rsidRDefault="00F52356" w:rsidP="00DE78B3">
      <w:r>
        <w:t>Principe actif Vaxchora</w:t>
      </w:r>
    </w:p>
    <w:p w14:paraId="02CB4A0F" w14:textId="5303E1F8" w:rsidR="009C5AEA" w:rsidRDefault="00E46CBB" w:rsidP="00DE78B3">
      <w:r>
        <w:t>P</w:t>
      </w:r>
      <w:r w:rsidR="00F52356">
        <w:t xml:space="preserve">oudre pour suspension </w:t>
      </w:r>
      <w:r w:rsidR="002246EA">
        <w:t>buvable</w:t>
      </w:r>
    </w:p>
    <w:p w14:paraId="4BE4D00B" w14:textId="77777777" w:rsidR="009C5AEA" w:rsidRDefault="00F52356" w:rsidP="00DE78B3">
      <w:proofErr w:type="gramStart"/>
      <w:r>
        <w:t>souche</w:t>
      </w:r>
      <w:proofErr w:type="gramEnd"/>
      <w:r>
        <w:t xml:space="preserve"> du vaccin contre le choléra</w:t>
      </w:r>
    </w:p>
    <w:p w14:paraId="240E2632" w14:textId="77777777" w:rsidR="009C5AEA" w:rsidRDefault="00F52356" w:rsidP="00DE78B3">
      <w:r>
        <w:t>Voie orale</w:t>
      </w:r>
    </w:p>
    <w:p w14:paraId="4DDC1AD7" w14:textId="77777777" w:rsidR="009C5AEA" w:rsidRDefault="009C5AEA" w:rsidP="00DE78B3"/>
    <w:p w14:paraId="0FFE794F" w14:textId="77777777" w:rsidR="009C5AEA" w:rsidRDefault="009C5AEA" w:rsidP="00DE78B3"/>
    <w:p w14:paraId="30807EF4" w14:textId="77777777" w:rsidR="009C5AEA" w:rsidRDefault="00F52356" w:rsidP="00DE78B3">
      <w:pPr>
        <w:pStyle w:val="Heading1LAB"/>
        <w:outlineLvl w:val="9"/>
      </w:pPr>
      <w:r>
        <w:t>2.</w:t>
      </w:r>
      <w:r>
        <w:tab/>
        <w:t>MODE D’ADMINISTRATION</w:t>
      </w:r>
    </w:p>
    <w:p w14:paraId="4C931368" w14:textId="77777777" w:rsidR="009C5AEA" w:rsidRDefault="009C5AEA" w:rsidP="00DE78B3">
      <w:pPr>
        <w:keepNext/>
      </w:pPr>
    </w:p>
    <w:p w14:paraId="415C6289" w14:textId="2FC7FA54" w:rsidR="009C5AEA" w:rsidRDefault="00D3002F" w:rsidP="00DE78B3">
      <w:r w:rsidRPr="003B6775">
        <w:t>À</w:t>
      </w:r>
      <w:r w:rsidR="00BC0497" w:rsidRPr="003B6775">
        <w:t xml:space="preserve"> ouvrir après préparation de la solution du sachet n</w:t>
      </w:r>
      <w:r w:rsidRPr="003B6775">
        <w:t>º </w:t>
      </w:r>
      <w:r w:rsidR="00BC0497" w:rsidRPr="003B6775">
        <w:t xml:space="preserve">1 dans </w:t>
      </w:r>
      <w:r w:rsidR="00D55707" w:rsidRPr="003B6775">
        <w:t xml:space="preserve">de </w:t>
      </w:r>
      <w:r w:rsidR="00BC0497" w:rsidRPr="003B6775">
        <w:t>l</w:t>
      </w:r>
      <w:r w:rsidRPr="003B6775">
        <w:t>’</w:t>
      </w:r>
      <w:r w:rsidR="00BC0497" w:rsidRPr="003B6775">
        <w:t xml:space="preserve">eau </w:t>
      </w:r>
      <w:r w:rsidR="00F52356" w:rsidRPr="003B6775">
        <w:t>en bouteille.</w:t>
      </w:r>
    </w:p>
    <w:p w14:paraId="103CEEE0" w14:textId="77777777" w:rsidR="009C5AEA" w:rsidRDefault="00F52356" w:rsidP="00DE78B3">
      <w:r>
        <w:t>Lire la notice avant utilisation.</w:t>
      </w:r>
    </w:p>
    <w:p w14:paraId="0CA4B755" w14:textId="77777777" w:rsidR="009C5AEA" w:rsidRDefault="009C5AEA" w:rsidP="00DE78B3"/>
    <w:p w14:paraId="2619F4F3" w14:textId="77777777" w:rsidR="009C5AEA" w:rsidRDefault="009C5AEA" w:rsidP="00DE78B3"/>
    <w:p w14:paraId="4CD6C32D" w14:textId="77777777" w:rsidR="009C5AEA" w:rsidRDefault="00F52356" w:rsidP="00DE78B3">
      <w:pPr>
        <w:pStyle w:val="Heading1LAB"/>
        <w:outlineLvl w:val="9"/>
      </w:pPr>
      <w:r>
        <w:t>3.</w:t>
      </w:r>
      <w:r>
        <w:tab/>
        <w:t>DATE DE PÉREMPTION</w:t>
      </w:r>
    </w:p>
    <w:p w14:paraId="660A7853" w14:textId="77777777" w:rsidR="009C5AEA" w:rsidRDefault="009C5AEA" w:rsidP="00DE78B3">
      <w:pPr>
        <w:keepNext/>
      </w:pPr>
    </w:p>
    <w:p w14:paraId="3AB70655" w14:textId="77777777" w:rsidR="009C5AEA" w:rsidRDefault="00F52356" w:rsidP="00DE78B3">
      <w:r>
        <w:t>EXP</w:t>
      </w:r>
    </w:p>
    <w:p w14:paraId="1A7AC03A" w14:textId="77777777" w:rsidR="009C5AEA" w:rsidRDefault="009C5AEA" w:rsidP="00DE78B3"/>
    <w:p w14:paraId="722D2046" w14:textId="77777777" w:rsidR="009C5AEA" w:rsidRDefault="009C5AEA" w:rsidP="00DE78B3"/>
    <w:p w14:paraId="483C07E7" w14:textId="77777777" w:rsidR="009C5AEA" w:rsidRDefault="00F52356" w:rsidP="00DE78B3">
      <w:pPr>
        <w:pStyle w:val="Heading1LAB"/>
        <w:outlineLvl w:val="9"/>
      </w:pPr>
      <w:r>
        <w:t>4.</w:t>
      </w:r>
      <w:r>
        <w:tab/>
        <w:t>NUMÉRO DU LOT</w:t>
      </w:r>
    </w:p>
    <w:p w14:paraId="4208071A" w14:textId="77777777" w:rsidR="009C5AEA" w:rsidRDefault="009C5AEA" w:rsidP="00DE78B3">
      <w:pPr>
        <w:keepNext/>
      </w:pPr>
    </w:p>
    <w:p w14:paraId="490556A6" w14:textId="77777777" w:rsidR="009C5AEA" w:rsidRDefault="00F52356" w:rsidP="00DE78B3">
      <w:r>
        <w:t>Lot</w:t>
      </w:r>
    </w:p>
    <w:p w14:paraId="6CD9EEDA" w14:textId="77777777" w:rsidR="009C5AEA" w:rsidRDefault="009C5AEA" w:rsidP="00DE78B3"/>
    <w:p w14:paraId="7FAD0525" w14:textId="77777777" w:rsidR="009C5AEA" w:rsidRDefault="009C5AEA" w:rsidP="00DE78B3"/>
    <w:p w14:paraId="2BAB68A2" w14:textId="77777777" w:rsidR="009C5AEA" w:rsidRDefault="00F52356" w:rsidP="00DE78B3">
      <w:pPr>
        <w:pStyle w:val="Heading1LAB"/>
        <w:outlineLvl w:val="9"/>
      </w:pPr>
      <w:r>
        <w:t>5.</w:t>
      </w:r>
      <w:r>
        <w:tab/>
        <w:t>CONTENU EN POIDS, VOLUME OU UNITÉ</w:t>
      </w:r>
    </w:p>
    <w:p w14:paraId="69D9E2FE" w14:textId="77777777" w:rsidR="009C5AEA" w:rsidRDefault="009C5AEA" w:rsidP="00DE78B3">
      <w:pPr>
        <w:keepNext/>
      </w:pPr>
    </w:p>
    <w:p w14:paraId="66E629CD" w14:textId="77777777" w:rsidR="009C5AEA" w:rsidRDefault="00F52356" w:rsidP="00DE78B3">
      <w:r>
        <w:t>2,0 g</w:t>
      </w:r>
    </w:p>
    <w:p w14:paraId="26DE7D28" w14:textId="77777777" w:rsidR="009C5AEA" w:rsidRDefault="009C5AEA" w:rsidP="00DE78B3"/>
    <w:p w14:paraId="40743FA6" w14:textId="77777777" w:rsidR="009C5AEA" w:rsidRDefault="009C5AEA" w:rsidP="00DE78B3"/>
    <w:p w14:paraId="46BA8E28" w14:textId="77777777" w:rsidR="009C5AEA" w:rsidRDefault="00F52356" w:rsidP="00DE78B3">
      <w:pPr>
        <w:pStyle w:val="Heading1LAB"/>
        <w:outlineLvl w:val="9"/>
      </w:pPr>
      <w:r>
        <w:t>6.</w:t>
      </w:r>
      <w:r>
        <w:tab/>
        <w:t>AUTRE</w:t>
      </w:r>
    </w:p>
    <w:p w14:paraId="7DEC7FFA" w14:textId="77777777" w:rsidR="009C5AEA" w:rsidRDefault="009C5AEA" w:rsidP="00DE78B3">
      <w:pPr>
        <w:keepNext/>
      </w:pPr>
    </w:p>
    <w:p w14:paraId="74F685CA" w14:textId="77777777" w:rsidR="009C5AEA" w:rsidRDefault="00F52356" w:rsidP="00DE78B3">
      <w:r>
        <w:t>2</w:t>
      </w:r>
    </w:p>
    <w:p w14:paraId="30778CD9" w14:textId="77777777" w:rsidR="009C5AEA" w:rsidRDefault="009C5AEA" w:rsidP="00DE78B3"/>
    <w:p w14:paraId="75631B0C" w14:textId="639C7C1F" w:rsidR="009C5AEA" w:rsidRPr="00CC4344" w:rsidRDefault="003305DD" w:rsidP="00DE78B3">
      <w:pPr>
        <w:rPr>
          <w:highlight w:val="lightGray"/>
        </w:rPr>
      </w:pPr>
      <w:r>
        <w:rPr>
          <w:highlight w:val="lightGray"/>
        </w:rPr>
        <w:t>Voir</w:t>
      </w:r>
      <w:r w:rsidR="00F52356" w:rsidRPr="00CC4344">
        <w:rPr>
          <w:highlight w:val="lightGray"/>
        </w:rPr>
        <w:t xml:space="preserve"> au verso pour </w:t>
      </w:r>
      <w:r>
        <w:rPr>
          <w:highlight w:val="lightGray"/>
        </w:rPr>
        <w:t>l</w:t>
      </w:r>
      <w:r w:rsidR="00F52356" w:rsidRPr="00CC4344">
        <w:rPr>
          <w:highlight w:val="lightGray"/>
        </w:rPr>
        <w:t>es instructions</w:t>
      </w:r>
      <w:r>
        <w:rPr>
          <w:highlight w:val="lightGray"/>
        </w:rPr>
        <w:t xml:space="preserve"> d’utilisation</w:t>
      </w:r>
      <w:r w:rsidR="00F52356" w:rsidRPr="00CC4344">
        <w:rPr>
          <w:highlight w:val="lightGray"/>
        </w:rPr>
        <w:t>.</w:t>
      </w:r>
    </w:p>
    <w:p w14:paraId="7611A0BB" w14:textId="77777777" w:rsidR="009C5AEA" w:rsidRDefault="009C5AEA" w:rsidP="00DE78B3"/>
    <w:p w14:paraId="1D500C10" w14:textId="74689BDC" w:rsidR="009C5AEA" w:rsidRDefault="00F52356" w:rsidP="00DE78B3">
      <w:r w:rsidRPr="003B6775">
        <w:t xml:space="preserve">Sachet </w:t>
      </w:r>
      <w:r w:rsidR="003305DD" w:rsidRPr="003B6775">
        <w:t>n</w:t>
      </w:r>
      <w:r w:rsidR="00D3002F" w:rsidRPr="003B6775">
        <w:t>º </w:t>
      </w:r>
      <w:r w:rsidRPr="003B6775">
        <w:t xml:space="preserve">2. À utiliser </w:t>
      </w:r>
      <w:r w:rsidR="00D61F9C" w:rsidRPr="003B6775">
        <w:t>après le sachet n</w:t>
      </w:r>
      <w:r w:rsidR="00D3002F" w:rsidRPr="003B6775">
        <w:t>º </w:t>
      </w:r>
      <w:r w:rsidR="00D61F9C" w:rsidRPr="003B6775">
        <w:t>1</w:t>
      </w:r>
      <w:r w:rsidRPr="003B6775">
        <w:t>.</w:t>
      </w:r>
    </w:p>
    <w:p w14:paraId="22EB8B78" w14:textId="77777777" w:rsidR="009C5AEA" w:rsidRDefault="009C5AEA" w:rsidP="00DE78B3"/>
    <w:p w14:paraId="0BEBB59D" w14:textId="36181A4B" w:rsidR="009C5AEA" w:rsidRDefault="00BC0497" w:rsidP="00DE78B3">
      <w:r w:rsidRPr="00BC0497">
        <w:t>Bavarian Nordic A/S</w:t>
      </w:r>
      <w:r w:rsidR="00F52356">
        <w:br w:type="page"/>
      </w:r>
    </w:p>
    <w:p w14:paraId="6CA31210" w14:textId="77777777" w:rsidR="009C5AEA" w:rsidRDefault="00F52356" w:rsidP="00DE78B3">
      <w:pPr>
        <w:pStyle w:val="HeadingStrLAB"/>
      </w:pPr>
      <w:r>
        <w:lastRenderedPageBreak/>
        <w:t>MENTIONS MINIMALES DEVANT FIGURER SUR LES PETITS CONDITIONNEMENTS PRIMAIRES</w:t>
      </w:r>
    </w:p>
    <w:p w14:paraId="46F8DB56" w14:textId="77777777" w:rsidR="009C5AEA" w:rsidRDefault="009C5AEA" w:rsidP="00DE78B3">
      <w:pPr>
        <w:pStyle w:val="HeadingStrLAB"/>
      </w:pPr>
    </w:p>
    <w:p w14:paraId="54033EE5" w14:textId="77777777" w:rsidR="009C5AEA" w:rsidRDefault="00F52356" w:rsidP="00DE78B3">
      <w:pPr>
        <w:pStyle w:val="HeadingStrLAB"/>
      </w:pPr>
      <w:r>
        <w:t>Sachet</w:t>
      </w:r>
    </w:p>
    <w:p w14:paraId="1B90AA11" w14:textId="77777777" w:rsidR="009C5AEA" w:rsidRDefault="009C5AEA" w:rsidP="00DE78B3">
      <w:pPr>
        <w:keepNext/>
      </w:pPr>
    </w:p>
    <w:p w14:paraId="17D8FD9C" w14:textId="77777777" w:rsidR="009C5AEA" w:rsidRDefault="009C5AEA" w:rsidP="00DE78B3"/>
    <w:p w14:paraId="7A85FC52" w14:textId="77777777" w:rsidR="009C5AEA" w:rsidRDefault="00F52356" w:rsidP="00DE78B3">
      <w:pPr>
        <w:pStyle w:val="Heading1LAB"/>
        <w:outlineLvl w:val="9"/>
      </w:pPr>
      <w:r>
        <w:t>1.</w:t>
      </w:r>
      <w:r>
        <w:tab/>
        <w:t>DÉNOMINATION DU MÉDICAMENT ET VOIE(S) D’ADMINISTRATION</w:t>
      </w:r>
    </w:p>
    <w:p w14:paraId="012DCDE7" w14:textId="77777777" w:rsidR="009C5AEA" w:rsidRDefault="009C5AEA" w:rsidP="00DE78B3">
      <w:pPr>
        <w:keepNext/>
      </w:pPr>
    </w:p>
    <w:p w14:paraId="0E747B26" w14:textId="77777777" w:rsidR="003A1023" w:rsidRDefault="003A1023" w:rsidP="00DE78B3">
      <w:r>
        <w:t>Solution tampon de Vaxchora</w:t>
      </w:r>
    </w:p>
    <w:p w14:paraId="54696F7A" w14:textId="6C30349D" w:rsidR="003A1023" w:rsidRDefault="00D55707" w:rsidP="00DE78B3">
      <w:r>
        <w:t>P</w:t>
      </w:r>
      <w:r w:rsidR="003A1023">
        <w:t>oudre effervescente</w:t>
      </w:r>
    </w:p>
    <w:p w14:paraId="5540D0FD" w14:textId="1B711D04" w:rsidR="009C5AEA" w:rsidRDefault="008F449B" w:rsidP="00DE78B3">
      <w:r>
        <w:t xml:space="preserve">Bicarbonate </w:t>
      </w:r>
      <w:r w:rsidR="00F52356">
        <w:t>de sodium</w:t>
      </w:r>
    </w:p>
    <w:p w14:paraId="329E4AFC" w14:textId="77777777" w:rsidR="009C5AEA" w:rsidRDefault="00F52356" w:rsidP="00DE78B3">
      <w:r>
        <w:t>Voie orale</w:t>
      </w:r>
    </w:p>
    <w:p w14:paraId="7DAF7903" w14:textId="77777777" w:rsidR="009C5AEA" w:rsidRDefault="009C5AEA" w:rsidP="00DE78B3"/>
    <w:p w14:paraId="4FC275A1" w14:textId="77777777" w:rsidR="009C5AEA" w:rsidRDefault="009C5AEA" w:rsidP="00DE78B3"/>
    <w:p w14:paraId="72277FF8" w14:textId="77777777" w:rsidR="009C5AEA" w:rsidRDefault="00F52356" w:rsidP="00DE78B3">
      <w:pPr>
        <w:pStyle w:val="Heading1LAB"/>
        <w:outlineLvl w:val="9"/>
      </w:pPr>
      <w:r>
        <w:t>2.</w:t>
      </w:r>
      <w:r>
        <w:tab/>
        <w:t>MODE D’ADMINISTRATION</w:t>
      </w:r>
    </w:p>
    <w:p w14:paraId="70654F2B" w14:textId="77777777" w:rsidR="009C5AEA" w:rsidRDefault="009C5AEA" w:rsidP="00DE78B3">
      <w:pPr>
        <w:keepNext/>
      </w:pPr>
    </w:p>
    <w:p w14:paraId="799B0B0B" w14:textId="2C1F4DEF" w:rsidR="009C5AEA" w:rsidRDefault="00F52356" w:rsidP="00DE78B3">
      <w:r>
        <w:t>À mélanger avec de l’eau en bouteille</w:t>
      </w:r>
      <w:r w:rsidR="00D61F9C">
        <w:t>, puis avec le sachet n</w:t>
      </w:r>
      <w:r w:rsidR="00D3002F">
        <w:t>º </w:t>
      </w:r>
      <w:r w:rsidR="00D61F9C">
        <w:t>2 (</w:t>
      </w:r>
      <w:r w:rsidR="00E160D8">
        <w:t xml:space="preserve">principe actif </w:t>
      </w:r>
      <w:r>
        <w:t>de Vaxchora</w:t>
      </w:r>
      <w:r w:rsidR="00D61F9C">
        <w:t>)</w:t>
      </w:r>
      <w:r>
        <w:t>.</w:t>
      </w:r>
    </w:p>
    <w:p w14:paraId="4C03B0E3" w14:textId="7E85AEA1" w:rsidR="009C5AEA" w:rsidRDefault="00F52356" w:rsidP="00DE78B3">
      <w:r>
        <w:t>Lire la notice avant utilisation</w:t>
      </w:r>
      <w:r w:rsidR="00D149E4">
        <w:t xml:space="preserve">, surtout en cas </w:t>
      </w:r>
      <w:r w:rsidR="00686F88">
        <w:t xml:space="preserve">d’administration </w:t>
      </w:r>
      <w:r w:rsidR="00D149E4">
        <w:t xml:space="preserve">chez </w:t>
      </w:r>
      <w:r w:rsidR="00686F88">
        <w:t>l’</w:t>
      </w:r>
      <w:r w:rsidR="00D149E4">
        <w:t>enfant âgé de 2</w:t>
      </w:r>
      <w:r w:rsidR="003A1023">
        <w:t> </w:t>
      </w:r>
      <w:r w:rsidR="00686F88">
        <w:t>ans</w:t>
      </w:r>
      <w:r w:rsidR="00D149E4">
        <w:t xml:space="preserve"> à moins de 6 </w:t>
      </w:r>
      <w:r w:rsidR="00D149E4" w:rsidRPr="00D149E4">
        <w:t>ans, car différentes étapes de préparation sont nécessaires</w:t>
      </w:r>
      <w:r>
        <w:t>.</w:t>
      </w:r>
    </w:p>
    <w:p w14:paraId="44A5D319" w14:textId="77777777" w:rsidR="009C5AEA" w:rsidRDefault="009C5AEA" w:rsidP="00DE78B3"/>
    <w:p w14:paraId="28A04FBC" w14:textId="77777777" w:rsidR="009C5AEA" w:rsidRDefault="009C5AEA" w:rsidP="00DE78B3"/>
    <w:p w14:paraId="291F971F" w14:textId="77777777" w:rsidR="009C5AEA" w:rsidRDefault="00F52356" w:rsidP="00DE78B3">
      <w:pPr>
        <w:pStyle w:val="Heading1LAB"/>
        <w:outlineLvl w:val="9"/>
      </w:pPr>
      <w:r>
        <w:t>3.</w:t>
      </w:r>
      <w:r>
        <w:tab/>
        <w:t>DATE DE PÉREMPTION</w:t>
      </w:r>
    </w:p>
    <w:p w14:paraId="3BF5401A" w14:textId="77777777" w:rsidR="009C5AEA" w:rsidRDefault="009C5AEA" w:rsidP="00DE78B3">
      <w:pPr>
        <w:keepNext/>
      </w:pPr>
    </w:p>
    <w:p w14:paraId="4AA8F5FE" w14:textId="77777777" w:rsidR="009C5AEA" w:rsidRDefault="00F52356" w:rsidP="00DE78B3">
      <w:r>
        <w:t>EXP</w:t>
      </w:r>
    </w:p>
    <w:p w14:paraId="4EF1F53A" w14:textId="77777777" w:rsidR="009C5AEA" w:rsidRDefault="009C5AEA" w:rsidP="00DE78B3"/>
    <w:p w14:paraId="335997C0" w14:textId="77777777" w:rsidR="009C5AEA" w:rsidRDefault="009C5AEA" w:rsidP="00DE78B3"/>
    <w:p w14:paraId="0F1F66E3" w14:textId="77777777" w:rsidR="009C5AEA" w:rsidRDefault="00F52356" w:rsidP="00DE78B3">
      <w:pPr>
        <w:pStyle w:val="Heading1LAB"/>
        <w:outlineLvl w:val="9"/>
      </w:pPr>
      <w:r>
        <w:t>4.</w:t>
      </w:r>
      <w:r>
        <w:tab/>
        <w:t>NUMÉRO DU LOT</w:t>
      </w:r>
    </w:p>
    <w:p w14:paraId="42BAC68A" w14:textId="77777777" w:rsidR="009C5AEA" w:rsidRDefault="009C5AEA" w:rsidP="00DE78B3">
      <w:pPr>
        <w:keepNext/>
      </w:pPr>
    </w:p>
    <w:p w14:paraId="125F7F31" w14:textId="77777777" w:rsidR="009C5AEA" w:rsidRDefault="00F52356" w:rsidP="00DE78B3">
      <w:r>
        <w:t>Lot</w:t>
      </w:r>
    </w:p>
    <w:p w14:paraId="749F3338" w14:textId="77777777" w:rsidR="009C5AEA" w:rsidRDefault="009C5AEA" w:rsidP="00DE78B3"/>
    <w:p w14:paraId="1A7CE2EF" w14:textId="77777777" w:rsidR="009C5AEA" w:rsidRDefault="009C5AEA" w:rsidP="00DE78B3"/>
    <w:p w14:paraId="441A9A67" w14:textId="77777777" w:rsidR="009C5AEA" w:rsidRDefault="00F52356" w:rsidP="00DE78B3">
      <w:pPr>
        <w:pStyle w:val="Heading1LAB"/>
        <w:outlineLvl w:val="9"/>
      </w:pPr>
      <w:r>
        <w:t>5.</w:t>
      </w:r>
      <w:r>
        <w:tab/>
        <w:t>CONTENU EN POIDS, VOLUME OU UNITÉ</w:t>
      </w:r>
    </w:p>
    <w:p w14:paraId="4BA2485E" w14:textId="77777777" w:rsidR="009C5AEA" w:rsidRDefault="009C5AEA" w:rsidP="00DE78B3">
      <w:pPr>
        <w:keepNext/>
      </w:pPr>
    </w:p>
    <w:p w14:paraId="2BBF2E05" w14:textId="77777777" w:rsidR="009C5AEA" w:rsidRDefault="00F52356" w:rsidP="00DE78B3">
      <w:r>
        <w:t>4,5 g</w:t>
      </w:r>
    </w:p>
    <w:p w14:paraId="6055308F" w14:textId="77777777" w:rsidR="009C5AEA" w:rsidRDefault="009C5AEA" w:rsidP="00DE78B3"/>
    <w:p w14:paraId="3F34C760" w14:textId="77777777" w:rsidR="009C5AEA" w:rsidRDefault="009C5AEA" w:rsidP="00DE78B3"/>
    <w:p w14:paraId="66D17727" w14:textId="77777777" w:rsidR="009C5AEA" w:rsidRDefault="00F52356" w:rsidP="00DE78B3">
      <w:pPr>
        <w:pStyle w:val="Heading1LAB"/>
        <w:outlineLvl w:val="9"/>
      </w:pPr>
      <w:r>
        <w:t>6.</w:t>
      </w:r>
      <w:r>
        <w:tab/>
        <w:t>AUTRE</w:t>
      </w:r>
    </w:p>
    <w:p w14:paraId="0CD505BD" w14:textId="77777777" w:rsidR="009C5AEA" w:rsidRDefault="009C5AEA" w:rsidP="00DE78B3">
      <w:pPr>
        <w:keepNext/>
      </w:pPr>
    </w:p>
    <w:p w14:paraId="6349CCB8" w14:textId="77777777" w:rsidR="009C5AEA" w:rsidRDefault="00F52356" w:rsidP="00DE78B3">
      <w:r>
        <w:t>1</w:t>
      </w:r>
    </w:p>
    <w:p w14:paraId="213F9D5D" w14:textId="77777777" w:rsidR="009C5AEA" w:rsidRDefault="009C5AEA" w:rsidP="00DE78B3"/>
    <w:p w14:paraId="2084CF8E" w14:textId="54231DCE" w:rsidR="009C5AEA" w:rsidRDefault="00D61F9C" w:rsidP="00DE78B3">
      <w:r>
        <w:rPr>
          <w:highlight w:val="lightGray"/>
        </w:rPr>
        <w:t>Voir</w:t>
      </w:r>
      <w:r w:rsidR="00F52356" w:rsidRPr="00CC4344">
        <w:rPr>
          <w:highlight w:val="lightGray"/>
        </w:rPr>
        <w:t xml:space="preserve"> au verso pour </w:t>
      </w:r>
      <w:r>
        <w:rPr>
          <w:highlight w:val="lightGray"/>
        </w:rPr>
        <w:t>l</w:t>
      </w:r>
      <w:r w:rsidR="00F52356" w:rsidRPr="00CC4344">
        <w:rPr>
          <w:highlight w:val="lightGray"/>
        </w:rPr>
        <w:t>es instructions</w:t>
      </w:r>
      <w:r>
        <w:rPr>
          <w:highlight w:val="lightGray"/>
        </w:rPr>
        <w:t xml:space="preserve"> d’utilisation</w:t>
      </w:r>
      <w:r w:rsidR="00F52356" w:rsidRPr="00CC4344">
        <w:rPr>
          <w:highlight w:val="lightGray"/>
        </w:rPr>
        <w:t>.</w:t>
      </w:r>
    </w:p>
    <w:p w14:paraId="221B3B1A" w14:textId="77777777" w:rsidR="009C5AEA" w:rsidRDefault="009C5AEA" w:rsidP="00DE78B3"/>
    <w:p w14:paraId="09B716FC" w14:textId="478F2244" w:rsidR="009C5AEA" w:rsidRDefault="00F52356" w:rsidP="00DE78B3">
      <w:r>
        <w:t xml:space="preserve">Sachet </w:t>
      </w:r>
      <w:r w:rsidR="00D61F9C">
        <w:t>n</w:t>
      </w:r>
      <w:r w:rsidR="00D3002F">
        <w:t>º </w:t>
      </w:r>
      <w:r>
        <w:t>1. À utiliser en premier.</w:t>
      </w:r>
    </w:p>
    <w:p w14:paraId="4FF98069" w14:textId="77777777" w:rsidR="009C5AEA" w:rsidRDefault="009C5AEA" w:rsidP="00DE78B3"/>
    <w:p w14:paraId="7ABAD389" w14:textId="018671FB" w:rsidR="009C5AEA" w:rsidRDefault="00BC0497" w:rsidP="00DE78B3">
      <w:pPr>
        <w:rPr>
          <w:lang w:val="en-US"/>
        </w:rPr>
      </w:pPr>
      <w:r w:rsidRPr="00BC0497">
        <w:rPr>
          <w:lang w:val="en-US"/>
        </w:rPr>
        <w:t>Bavarian Nordic A/S</w:t>
      </w:r>
    </w:p>
    <w:p w14:paraId="26096D6A" w14:textId="77777777" w:rsidR="009C5AEA" w:rsidRDefault="00F52356" w:rsidP="00DE78B3">
      <w:pPr>
        <w:rPr>
          <w:lang w:val="en-US"/>
        </w:rPr>
      </w:pPr>
      <w:r>
        <w:rPr>
          <w:lang w:val="en-US"/>
        </w:rPr>
        <w:br w:type="page"/>
      </w:r>
    </w:p>
    <w:p w14:paraId="52B74D41" w14:textId="3A89B253" w:rsidR="009C5AEA" w:rsidRDefault="009C5AEA" w:rsidP="00DE78B3">
      <w:pPr>
        <w:rPr>
          <w:lang w:val="en-US"/>
        </w:rPr>
      </w:pPr>
    </w:p>
    <w:p w14:paraId="4F8AF604" w14:textId="77777777" w:rsidR="008019CE" w:rsidRDefault="008019CE" w:rsidP="00DE78B3">
      <w:pPr>
        <w:rPr>
          <w:lang w:val="en-US"/>
        </w:rPr>
      </w:pPr>
    </w:p>
    <w:p w14:paraId="5D1B96F8" w14:textId="77777777" w:rsidR="009C5AEA" w:rsidRDefault="009C5AEA" w:rsidP="00DE78B3">
      <w:pPr>
        <w:rPr>
          <w:lang w:val="en-US"/>
        </w:rPr>
      </w:pPr>
    </w:p>
    <w:p w14:paraId="067B9891" w14:textId="77777777" w:rsidR="009C5AEA" w:rsidRDefault="009C5AEA" w:rsidP="00DE78B3">
      <w:pPr>
        <w:rPr>
          <w:lang w:val="en-US"/>
        </w:rPr>
      </w:pPr>
    </w:p>
    <w:p w14:paraId="4E989870" w14:textId="77777777" w:rsidR="009C5AEA" w:rsidRDefault="009C5AEA" w:rsidP="00DE78B3">
      <w:pPr>
        <w:rPr>
          <w:lang w:val="en-US"/>
        </w:rPr>
      </w:pPr>
    </w:p>
    <w:p w14:paraId="4F1CEF81" w14:textId="77777777" w:rsidR="009C5AEA" w:rsidRDefault="009C5AEA" w:rsidP="00DE78B3">
      <w:pPr>
        <w:rPr>
          <w:lang w:val="en-US"/>
        </w:rPr>
      </w:pPr>
    </w:p>
    <w:p w14:paraId="241D1A81" w14:textId="77777777" w:rsidR="009C5AEA" w:rsidRDefault="009C5AEA" w:rsidP="00DE78B3">
      <w:pPr>
        <w:rPr>
          <w:lang w:val="en-US"/>
        </w:rPr>
      </w:pPr>
    </w:p>
    <w:p w14:paraId="0B8E9D42" w14:textId="77777777" w:rsidR="009C5AEA" w:rsidRDefault="009C5AEA" w:rsidP="00DE78B3">
      <w:pPr>
        <w:rPr>
          <w:lang w:val="en-US"/>
        </w:rPr>
      </w:pPr>
    </w:p>
    <w:p w14:paraId="7933B102" w14:textId="77777777" w:rsidR="009C5AEA" w:rsidRDefault="009C5AEA" w:rsidP="00DE78B3">
      <w:pPr>
        <w:rPr>
          <w:lang w:val="en-US"/>
        </w:rPr>
      </w:pPr>
    </w:p>
    <w:p w14:paraId="4F1A973B" w14:textId="77777777" w:rsidR="009C5AEA" w:rsidRDefault="009C5AEA" w:rsidP="00DE78B3">
      <w:pPr>
        <w:rPr>
          <w:lang w:val="en-US"/>
        </w:rPr>
      </w:pPr>
    </w:p>
    <w:p w14:paraId="4A2895DD" w14:textId="77777777" w:rsidR="009C5AEA" w:rsidRDefault="009C5AEA" w:rsidP="00DE78B3">
      <w:pPr>
        <w:rPr>
          <w:lang w:val="en-US"/>
        </w:rPr>
      </w:pPr>
    </w:p>
    <w:p w14:paraId="120A1A8D" w14:textId="77777777" w:rsidR="009C5AEA" w:rsidRDefault="009C5AEA" w:rsidP="00DE78B3">
      <w:pPr>
        <w:rPr>
          <w:lang w:val="en-US"/>
        </w:rPr>
      </w:pPr>
    </w:p>
    <w:p w14:paraId="28A94FD7" w14:textId="77777777" w:rsidR="009C5AEA" w:rsidRDefault="009C5AEA" w:rsidP="00DE78B3">
      <w:pPr>
        <w:rPr>
          <w:lang w:val="en-US"/>
        </w:rPr>
      </w:pPr>
    </w:p>
    <w:p w14:paraId="0268C2ED" w14:textId="77777777" w:rsidR="009C5AEA" w:rsidRDefault="009C5AEA" w:rsidP="00DE78B3">
      <w:pPr>
        <w:rPr>
          <w:lang w:val="en-US"/>
        </w:rPr>
      </w:pPr>
    </w:p>
    <w:p w14:paraId="080AAD15" w14:textId="77777777" w:rsidR="009C5AEA" w:rsidRDefault="009C5AEA" w:rsidP="00DE78B3">
      <w:pPr>
        <w:rPr>
          <w:lang w:val="en-US"/>
        </w:rPr>
      </w:pPr>
    </w:p>
    <w:p w14:paraId="1C9EADD7" w14:textId="77777777" w:rsidR="009C5AEA" w:rsidRDefault="009C5AEA" w:rsidP="00DE78B3">
      <w:pPr>
        <w:rPr>
          <w:lang w:val="en-US"/>
        </w:rPr>
      </w:pPr>
    </w:p>
    <w:p w14:paraId="0E7FC5D9" w14:textId="77777777" w:rsidR="009C5AEA" w:rsidRDefault="009C5AEA" w:rsidP="00DE78B3">
      <w:pPr>
        <w:rPr>
          <w:lang w:val="en-US"/>
        </w:rPr>
      </w:pPr>
    </w:p>
    <w:p w14:paraId="56D5DBA0" w14:textId="77777777" w:rsidR="009C5AEA" w:rsidRDefault="009C5AEA" w:rsidP="00DE78B3">
      <w:pPr>
        <w:rPr>
          <w:lang w:val="en-US"/>
        </w:rPr>
      </w:pPr>
    </w:p>
    <w:p w14:paraId="65577DC0" w14:textId="77777777" w:rsidR="009C5AEA" w:rsidRDefault="009C5AEA" w:rsidP="00DE78B3">
      <w:pPr>
        <w:rPr>
          <w:lang w:val="en-US"/>
        </w:rPr>
      </w:pPr>
    </w:p>
    <w:p w14:paraId="68801134" w14:textId="77777777" w:rsidR="009C5AEA" w:rsidRDefault="009C5AEA" w:rsidP="00DE78B3">
      <w:pPr>
        <w:rPr>
          <w:lang w:val="en-US"/>
        </w:rPr>
      </w:pPr>
    </w:p>
    <w:p w14:paraId="1420EBA8" w14:textId="77777777" w:rsidR="009C5AEA" w:rsidRDefault="009C5AEA" w:rsidP="00DE78B3">
      <w:pPr>
        <w:rPr>
          <w:lang w:val="en-US"/>
        </w:rPr>
      </w:pPr>
    </w:p>
    <w:p w14:paraId="4DFD57DC" w14:textId="77777777" w:rsidR="009C5AEA" w:rsidRDefault="009C5AEA" w:rsidP="00DE78B3">
      <w:pPr>
        <w:rPr>
          <w:lang w:val="en-US"/>
        </w:rPr>
      </w:pPr>
    </w:p>
    <w:p w14:paraId="0B2065DF" w14:textId="77777777" w:rsidR="009C5AEA" w:rsidRDefault="009C5AEA" w:rsidP="00DE78B3">
      <w:pPr>
        <w:rPr>
          <w:lang w:val="en-US"/>
        </w:rPr>
      </w:pPr>
    </w:p>
    <w:p w14:paraId="74F0D268" w14:textId="77777777" w:rsidR="009C5AEA" w:rsidRDefault="00F52356" w:rsidP="00903F7D">
      <w:pPr>
        <w:pStyle w:val="TitleA"/>
        <w:rPr>
          <w:lang w:val="en-US"/>
        </w:rPr>
      </w:pPr>
      <w:r>
        <w:rPr>
          <w:lang w:val="en-US"/>
        </w:rPr>
        <w:t>B. NOTICE</w:t>
      </w:r>
    </w:p>
    <w:p w14:paraId="55C4DB0A" w14:textId="77777777" w:rsidR="009C5AEA" w:rsidRDefault="00F52356" w:rsidP="00DE78B3">
      <w:pPr>
        <w:pStyle w:val="Title"/>
        <w:outlineLvl w:val="9"/>
      </w:pPr>
      <w:r w:rsidRPr="00184644">
        <w:br w:type="page"/>
      </w:r>
      <w:r>
        <w:lastRenderedPageBreak/>
        <w:t>Notice : Information de l’utilisateur</w:t>
      </w:r>
    </w:p>
    <w:p w14:paraId="7C13E0D3" w14:textId="77777777" w:rsidR="009C5AEA" w:rsidRDefault="009C5AEA" w:rsidP="00DE78B3">
      <w:pPr>
        <w:pStyle w:val="Title"/>
        <w:outlineLvl w:val="9"/>
      </w:pPr>
    </w:p>
    <w:p w14:paraId="21A508D3" w14:textId="6AB18021" w:rsidR="009C5AEA" w:rsidRDefault="00E4327A" w:rsidP="00DE78B3">
      <w:pPr>
        <w:pStyle w:val="Title"/>
        <w:outlineLvl w:val="9"/>
      </w:pPr>
      <w:r>
        <w:t xml:space="preserve">Vaxchora, </w:t>
      </w:r>
      <w:r w:rsidR="00335E01">
        <w:t>p</w:t>
      </w:r>
      <w:r w:rsidR="00F52356">
        <w:t xml:space="preserve">oudre effervescente et poudre pour suspension </w:t>
      </w:r>
      <w:r w:rsidR="002246EA">
        <w:t>buvable</w:t>
      </w:r>
    </w:p>
    <w:p w14:paraId="53503807" w14:textId="368D5B57" w:rsidR="009C5AEA" w:rsidRDefault="00F52356" w:rsidP="00DE78B3">
      <w:pPr>
        <w:pStyle w:val="Title"/>
        <w:outlineLvl w:val="9"/>
      </w:pPr>
      <w:proofErr w:type="gramStart"/>
      <w:r>
        <w:t>vaccin</w:t>
      </w:r>
      <w:proofErr w:type="gramEnd"/>
      <w:r>
        <w:t xml:space="preserve"> </w:t>
      </w:r>
      <w:r w:rsidR="00E4327A">
        <w:t xml:space="preserve">contre le choléra </w:t>
      </w:r>
      <w:r>
        <w:t>(vivant, recombiné, oral)</w:t>
      </w:r>
    </w:p>
    <w:p w14:paraId="47825948" w14:textId="77777777" w:rsidR="009C5AEA" w:rsidRDefault="009C5AEA" w:rsidP="00DE78B3"/>
    <w:p w14:paraId="3D026091" w14:textId="77777777" w:rsidR="009C5AEA" w:rsidRDefault="009C5AEA" w:rsidP="00DE78B3"/>
    <w:p w14:paraId="1F3F7C4F" w14:textId="77777777" w:rsidR="009C5AEA" w:rsidRDefault="00F52356" w:rsidP="00DE78B3">
      <w:pPr>
        <w:pStyle w:val="HeadingStrong"/>
      </w:pPr>
      <w:r>
        <w:t>Veuillez lire attentivement cette notice avant de prendre ce vaccin car elle contient des informations importantes pour vous.</w:t>
      </w:r>
    </w:p>
    <w:p w14:paraId="6190B02C" w14:textId="77777777" w:rsidR="009C5AEA" w:rsidRDefault="00F52356" w:rsidP="00DE78B3">
      <w:pPr>
        <w:pStyle w:val="Bullet-"/>
      </w:pPr>
      <w:r>
        <w:t>Gardez cette notice. Vous pourriez avoir besoin de la relire.</w:t>
      </w:r>
    </w:p>
    <w:p w14:paraId="06C38126" w14:textId="77777777" w:rsidR="009C5AEA" w:rsidRDefault="00F52356" w:rsidP="00DE78B3">
      <w:pPr>
        <w:pStyle w:val="Bullet-"/>
      </w:pPr>
      <w:r>
        <w:t>Si vous avez d’autres questions, interrogez votre médecin, votre pharmacien ou votre infirmier/ère.</w:t>
      </w:r>
    </w:p>
    <w:p w14:paraId="153E3745" w14:textId="77777777" w:rsidR="009C5AEA" w:rsidRDefault="00F52356" w:rsidP="00DE78B3">
      <w:pPr>
        <w:pStyle w:val="Bullet-"/>
      </w:pPr>
      <w:r>
        <w:t>Ce vaccin vous a été personnellement prescrit. Ne le donnez pas à d’autres personnes.</w:t>
      </w:r>
    </w:p>
    <w:p w14:paraId="0EDB08D8" w14:textId="4C2EF6CD" w:rsidR="009C5AEA" w:rsidRDefault="00F52356" w:rsidP="00DE78B3">
      <w:pPr>
        <w:pStyle w:val="Bullet-"/>
      </w:pPr>
      <w:r>
        <w:t>Si vous ressentez un quelconque effet indésirable, parlez-en à votre médecin, votre pharmacien ou votre infirmier/ère. Ceci s’applique aussi à tout effet indésirable qui ne serait pas mentionné dans cette notice. Voir rubrique 4.</w:t>
      </w:r>
    </w:p>
    <w:p w14:paraId="03EEF17B" w14:textId="77777777" w:rsidR="009C5AEA" w:rsidRDefault="009C5AEA" w:rsidP="00DE78B3"/>
    <w:p w14:paraId="00B2B934" w14:textId="77777777" w:rsidR="009C5AEA" w:rsidRDefault="00F52356" w:rsidP="00DE78B3">
      <w:pPr>
        <w:pStyle w:val="HeadingStrong"/>
      </w:pPr>
      <w:r>
        <w:t>Que contient cette notice ?</w:t>
      </w:r>
    </w:p>
    <w:p w14:paraId="6377B83C" w14:textId="77777777" w:rsidR="009C5AEA" w:rsidRDefault="009C5AEA" w:rsidP="00DE78B3">
      <w:pPr>
        <w:keepNext/>
      </w:pPr>
    </w:p>
    <w:p w14:paraId="02E3C66B" w14:textId="7B82B749" w:rsidR="009C5AEA" w:rsidRDefault="00F52356" w:rsidP="00DE78B3">
      <w:pPr>
        <w:ind w:left="567" w:hanging="567"/>
      </w:pPr>
      <w:r>
        <w:t>1.</w:t>
      </w:r>
      <w:r>
        <w:tab/>
        <w:t>Qu’est-ce que Vaxchora et dans quels cas est-il utilisé</w:t>
      </w:r>
    </w:p>
    <w:p w14:paraId="773FB608" w14:textId="0581FB29" w:rsidR="009C5AEA" w:rsidRDefault="00F52356" w:rsidP="00DE78B3">
      <w:pPr>
        <w:ind w:left="567" w:hanging="567"/>
      </w:pPr>
      <w:r>
        <w:t>2.</w:t>
      </w:r>
      <w:r>
        <w:tab/>
        <w:t>Quelles sont les informations à connaître avant de prendre Vaxchora</w:t>
      </w:r>
    </w:p>
    <w:p w14:paraId="623755D4" w14:textId="4B5DB950" w:rsidR="009C5AEA" w:rsidRDefault="00F52356" w:rsidP="00DE78B3">
      <w:pPr>
        <w:ind w:left="567" w:hanging="567"/>
      </w:pPr>
      <w:r>
        <w:t>3.</w:t>
      </w:r>
      <w:r>
        <w:tab/>
        <w:t>Comment prendre Vaxchora</w:t>
      </w:r>
    </w:p>
    <w:p w14:paraId="7FE49FC5" w14:textId="77777777" w:rsidR="009C5AEA" w:rsidRDefault="00F52356" w:rsidP="00DE78B3">
      <w:pPr>
        <w:ind w:left="567" w:hanging="567"/>
      </w:pPr>
      <w:r>
        <w:t>4.</w:t>
      </w:r>
      <w:r>
        <w:tab/>
        <w:t>Quels sont les effets indésirables éventuels ?</w:t>
      </w:r>
    </w:p>
    <w:p w14:paraId="00D24F24" w14:textId="08B14842" w:rsidR="009C5AEA" w:rsidRDefault="00F52356" w:rsidP="00DE78B3">
      <w:pPr>
        <w:ind w:left="567" w:hanging="567"/>
      </w:pPr>
      <w:r>
        <w:t>5.</w:t>
      </w:r>
      <w:r>
        <w:tab/>
        <w:t>Comment conserver Vaxchora</w:t>
      </w:r>
    </w:p>
    <w:p w14:paraId="1F32D43F" w14:textId="77777777" w:rsidR="009C5AEA" w:rsidRDefault="00F52356" w:rsidP="00DE78B3">
      <w:pPr>
        <w:ind w:left="567" w:hanging="567"/>
      </w:pPr>
      <w:r>
        <w:t>6.</w:t>
      </w:r>
      <w:r>
        <w:tab/>
        <w:t>Contenu de l’emballage et autres informations</w:t>
      </w:r>
    </w:p>
    <w:p w14:paraId="7C054941" w14:textId="77777777" w:rsidR="009C5AEA" w:rsidRDefault="009C5AEA" w:rsidP="00DE78B3"/>
    <w:p w14:paraId="71D83C2F" w14:textId="77777777" w:rsidR="009C5AEA" w:rsidRDefault="009C5AEA" w:rsidP="00DE78B3"/>
    <w:p w14:paraId="0F89B929" w14:textId="3881490C" w:rsidR="009C5AEA" w:rsidRPr="009135CD" w:rsidRDefault="00F52356" w:rsidP="00903F7D">
      <w:pPr>
        <w:rPr>
          <w:b/>
          <w:bCs/>
          <w:color w:val="FFFFFF" w:themeColor="background1"/>
        </w:rPr>
      </w:pPr>
      <w:r w:rsidRPr="009135CD">
        <w:rPr>
          <w:b/>
          <w:bCs/>
          <w:color w:val="FFFFFF" w:themeColor="background1"/>
          <w:highlight w:val="black"/>
        </w:rPr>
        <w:t>1.</w:t>
      </w:r>
      <w:r w:rsidRPr="009135CD">
        <w:rPr>
          <w:b/>
          <w:bCs/>
          <w:color w:val="FFFFFF" w:themeColor="background1"/>
          <w:highlight w:val="black"/>
        </w:rPr>
        <w:tab/>
        <w:t>Qu’est-ce que Vaxchora et dans quels cas est-il utilisé</w:t>
      </w:r>
    </w:p>
    <w:p w14:paraId="31910488" w14:textId="77777777" w:rsidR="009C5AEA" w:rsidRDefault="009C5AEA" w:rsidP="00DE78B3">
      <w:pPr>
        <w:keepNext/>
      </w:pPr>
    </w:p>
    <w:p w14:paraId="23679672" w14:textId="3B894C77" w:rsidR="009C5AEA" w:rsidRDefault="00F52356" w:rsidP="00DE78B3">
      <w:r>
        <w:t xml:space="preserve">Le produit Vaxchora est un vaccin oral contre le choléra qui stimule le système de défense immunitaire de l’intestin. Le vaccin est destiné à assurer une protection contre le choléra chez les adultes et les enfants âgés de </w:t>
      </w:r>
      <w:r w:rsidR="0012139B">
        <w:t>2</w:t>
      </w:r>
      <w:r>
        <w:t> ans et plus. Le vaccin doit être pris au moins 10 jours avant un séjour dans une zone touchée par le choléra.</w:t>
      </w:r>
    </w:p>
    <w:p w14:paraId="5803605D" w14:textId="77777777" w:rsidR="009C5AEA" w:rsidRDefault="009C5AEA" w:rsidP="00DE78B3"/>
    <w:p w14:paraId="1494BE88" w14:textId="77777777" w:rsidR="009C5AEA" w:rsidRPr="00AD6E27" w:rsidRDefault="00F52356" w:rsidP="00DE78B3">
      <w:pPr>
        <w:pStyle w:val="HeadingStrong"/>
        <w:rPr>
          <w:b w:val="0"/>
          <w:bCs w:val="0"/>
          <w:i/>
          <w:iCs/>
        </w:rPr>
      </w:pPr>
      <w:r w:rsidRPr="00AD6E27">
        <w:rPr>
          <w:b w:val="0"/>
          <w:bCs w:val="0"/>
          <w:i/>
          <w:iCs/>
        </w:rPr>
        <w:t>Quel est le mode d’action de Vaxchora ?</w:t>
      </w:r>
    </w:p>
    <w:p w14:paraId="295E2CB7" w14:textId="77777777" w:rsidR="009C5AEA" w:rsidRDefault="009C5AEA" w:rsidP="00DE78B3">
      <w:pPr>
        <w:keepNext/>
      </w:pPr>
    </w:p>
    <w:p w14:paraId="1CE642FF" w14:textId="77777777" w:rsidR="009C5AEA" w:rsidRDefault="00F52356" w:rsidP="00DE78B3">
      <w:r>
        <w:t>Vaxchora prépare le système immunitaire (les défenses de l’organisme) à se défendre contre le choléra. Lorsqu’une personne prend le vaccin, le système immunitaire fabrique des protéines, appelées « anticorps », contre la bactérie du choléra et sa toxine (substance nocive) qui provoque la diarrhée. Ainsi, le système immunitaire est prêt à combattre la bactérie du choléra si la personne entre en contact avec elle.</w:t>
      </w:r>
    </w:p>
    <w:p w14:paraId="48A4F44C" w14:textId="77777777" w:rsidR="009C5AEA" w:rsidRDefault="009C5AEA" w:rsidP="00DE78B3"/>
    <w:p w14:paraId="7B3CE245" w14:textId="77777777" w:rsidR="009C5AEA" w:rsidRDefault="009C5AEA" w:rsidP="00DE78B3"/>
    <w:p w14:paraId="69C16906" w14:textId="64386C46" w:rsidR="009C5AEA" w:rsidRPr="009135CD" w:rsidRDefault="00F52356" w:rsidP="00903F7D">
      <w:pPr>
        <w:rPr>
          <w:b/>
          <w:bCs/>
          <w:color w:val="FFFFFF" w:themeColor="background1"/>
          <w:highlight w:val="black"/>
        </w:rPr>
      </w:pPr>
      <w:r w:rsidRPr="009135CD">
        <w:rPr>
          <w:b/>
          <w:bCs/>
          <w:color w:val="FFFFFF" w:themeColor="background1"/>
          <w:highlight w:val="black"/>
        </w:rPr>
        <w:t>2.</w:t>
      </w:r>
      <w:r w:rsidRPr="009135CD">
        <w:rPr>
          <w:b/>
          <w:bCs/>
          <w:color w:val="FFFFFF" w:themeColor="background1"/>
          <w:highlight w:val="black"/>
        </w:rPr>
        <w:tab/>
        <w:t>Quelles sont les informations à connaître avant de prendre Vaxchora</w:t>
      </w:r>
    </w:p>
    <w:p w14:paraId="3BE7040A" w14:textId="77777777" w:rsidR="009C5AEA" w:rsidRDefault="009C5AEA" w:rsidP="00DE78B3">
      <w:pPr>
        <w:keepNext/>
      </w:pPr>
    </w:p>
    <w:p w14:paraId="2892CCF3" w14:textId="639EA95F" w:rsidR="009C5AEA" w:rsidRDefault="00F52356" w:rsidP="00DE78B3">
      <w:pPr>
        <w:pStyle w:val="HeadingStrong"/>
      </w:pPr>
      <w:r>
        <w:t xml:space="preserve">Ne prenez </w:t>
      </w:r>
      <w:r w:rsidR="00D071CB">
        <w:t xml:space="preserve">jamais </w:t>
      </w:r>
      <w:r>
        <w:t>Vaxchora :</w:t>
      </w:r>
    </w:p>
    <w:p w14:paraId="22CD4D89" w14:textId="77777777" w:rsidR="009C5AEA" w:rsidRDefault="00F52356" w:rsidP="00DE78B3">
      <w:pPr>
        <w:pStyle w:val="Bullet-"/>
      </w:pPr>
      <w:proofErr w:type="gramStart"/>
      <w:r>
        <w:t>si</w:t>
      </w:r>
      <w:proofErr w:type="gramEnd"/>
      <w:r>
        <w:t xml:space="preserve"> vous êtes allergique à l’un des composants contenus dans ce médicament (mentionnés dans la rubrique 6) ;</w:t>
      </w:r>
    </w:p>
    <w:p w14:paraId="4136958B" w14:textId="77777777" w:rsidR="009C5AEA" w:rsidRDefault="00F52356" w:rsidP="00DE78B3">
      <w:pPr>
        <w:pStyle w:val="Bullet-"/>
      </w:pPr>
      <w:proofErr w:type="gramStart"/>
      <w:r>
        <w:t>si</w:t>
      </w:r>
      <w:proofErr w:type="gramEnd"/>
      <w:r>
        <w:t xml:space="preserve"> votre système immunitaire est affaibli, par exemple si vous êtes né avec un système immunitaire affaibli ou si vous suivez des traitements tels qu’une corticothérapie à forte dose, des médicaments contre le cancer ou une radiothérapie, qui peuvent affaiblir le système immunitaire.</w:t>
      </w:r>
    </w:p>
    <w:p w14:paraId="6613D9E6" w14:textId="77777777" w:rsidR="009C5AEA" w:rsidRDefault="009C5AEA" w:rsidP="00DE78B3"/>
    <w:p w14:paraId="229B35AE" w14:textId="77777777" w:rsidR="009C5AEA" w:rsidRDefault="00F52356" w:rsidP="00DE78B3">
      <w:pPr>
        <w:pStyle w:val="HeadingStrong"/>
      </w:pPr>
      <w:r>
        <w:t>Avertissements et précautions</w:t>
      </w:r>
    </w:p>
    <w:p w14:paraId="376727FB" w14:textId="00005172" w:rsidR="009C5AEA" w:rsidRDefault="00D071CB" w:rsidP="00DE78B3">
      <w:r>
        <w:t>Adressez-vous à votre médecin, pharmacien ou infirmier/ère a</w:t>
      </w:r>
      <w:r w:rsidR="00F52356">
        <w:t>vant de prendre Vaxchora.</w:t>
      </w:r>
    </w:p>
    <w:p w14:paraId="0B75A4E0" w14:textId="77777777" w:rsidR="009C5AEA" w:rsidRDefault="009C5AEA" w:rsidP="00DE78B3"/>
    <w:p w14:paraId="55EA3BFE" w14:textId="77777777" w:rsidR="00D071CB" w:rsidRDefault="00D071CB" w:rsidP="00DE78B3"/>
    <w:p w14:paraId="77B23D53" w14:textId="77777777" w:rsidR="00A664FC" w:rsidRDefault="00A664FC" w:rsidP="00DE78B3"/>
    <w:p w14:paraId="2DABF8DD" w14:textId="2C4E3C44" w:rsidR="00A664FC" w:rsidRDefault="00A664FC" w:rsidP="00DE78B3">
      <w:r>
        <w:rPr>
          <w:noProof/>
        </w:rPr>
        <w:lastRenderedPageBreak/>
        <mc:AlternateContent>
          <mc:Choice Requires="wps">
            <w:drawing>
              <wp:anchor distT="45720" distB="45720" distL="114300" distR="114300" simplePos="0" relativeHeight="251659776" behindDoc="0" locked="0" layoutInCell="1" allowOverlap="1" wp14:anchorId="7BCB1202" wp14:editId="5C7FD1D7">
                <wp:simplePos x="0" y="0"/>
                <wp:positionH relativeFrom="margin">
                  <wp:align>right</wp:align>
                </wp:positionH>
                <wp:positionV relativeFrom="paragraph">
                  <wp:posOffset>166370</wp:posOffset>
                </wp:positionV>
                <wp:extent cx="5746750" cy="582295"/>
                <wp:effectExtent l="0" t="0" r="2540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582295"/>
                        </a:xfrm>
                        <a:prstGeom prst="rect">
                          <a:avLst/>
                        </a:prstGeom>
                        <a:solidFill>
                          <a:schemeClr val="bg1">
                            <a:lumMod val="75000"/>
                          </a:schemeClr>
                        </a:solidFill>
                        <a:ln w="9525">
                          <a:solidFill>
                            <a:schemeClr val="bg1">
                              <a:lumMod val="75000"/>
                            </a:schemeClr>
                          </a:solidFill>
                          <a:miter lim="800000"/>
                          <a:headEnd/>
                          <a:tailEnd/>
                        </a:ln>
                      </wps:spPr>
                      <wps:txbx>
                        <w:txbxContent>
                          <w:p w14:paraId="196CCFD5" w14:textId="1C10447C" w:rsidR="00A664FC" w:rsidRDefault="00A664FC" w:rsidP="00A664FC">
                            <w:r>
                              <w:t>Si vous ressentez les effets indésirables graves suivants, consultez immédiatement un médecin (voir également la rubrique 4) :</w:t>
                            </w:r>
                          </w:p>
                          <w:p w14:paraId="487BAAA8" w14:textId="3E4347C6" w:rsidR="00A664FC" w:rsidRDefault="00A664FC" w:rsidP="00A664FC">
                            <w:pPr>
                              <w:pStyle w:val="ListParagraph"/>
                              <w:numPr>
                                <w:ilvl w:val="0"/>
                                <w:numId w:val="21"/>
                              </w:numPr>
                              <w:ind w:left="567" w:hanging="567"/>
                            </w:pPr>
                            <w:proofErr w:type="gramStart"/>
                            <w:r>
                              <w:t>réactions</w:t>
                            </w:r>
                            <w:proofErr w:type="gramEnd"/>
                            <w:r>
                              <w:t xml:space="preserve"> allergiques graves entraînant un gonflement du visage ou de la gorge, de l’urticaire, une éruption cutanée avec démangeaisons, un essoufflement et/ou chute de la tension artérielle et perte de connaissance.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CB1202" id="_x0000_t202" coordsize="21600,21600" o:spt="202" path="m,l,21600r21600,l21600,xe">
                <v:stroke joinstyle="miter"/>
                <v:path gradientshapeok="t" o:connecttype="rect"/>
              </v:shapetype>
              <v:shape id="Text Box 2" o:spid="_x0000_s1026" type="#_x0000_t202" style="position:absolute;margin-left:401.3pt;margin-top:13.1pt;width:452.5pt;height:45.85pt;z-index:2516597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" fillcolor="#bfbfbf [2412]" strokecolor="#bfbfbf [2412]">
                <v:textbox style="mso-fit-shape-to-text:t">
                  <w:txbxContent>
                    <w:p w14:paraId="196CCFD5" w14:textId="1C10447C" w:rsidR="00A664FC" w:rsidRDefault="00A664FC" w:rsidP="00A664FC">
                      <w:r>
                        <w:t>Si vous ressentez les effets indésirables graves suivants, consultez immédiatement un médecin (voir également la rubrique 4) :</w:t>
                      </w:r>
                    </w:p>
                    <w:p w14:paraId="487BAAA8" w14:textId="3E4347C6" w:rsidR="00A664FC" w:rsidRDefault="00A664FC" w:rsidP="00A664FC">
                      <w:pPr>
                        <w:pStyle w:val="ListParagraph"/>
                        <w:numPr>
                          <w:ilvl w:val="0"/>
                          <w:numId w:val="21"/>
                        </w:numPr>
                        <w:ind w:left="567" w:hanging="567"/>
                      </w:pPr>
                      <w:proofErr w:type="gramStart"/>
                      <w:r>
                        <w:t>réactions</w:t>
                      </w:r>
                      <w:proofErr w:type="gramEnd"/>
                      <w:r>
                        <w:t xml:space="preserve"> allergiques graves entraînant un gonflement du visage ou de la gorge, de l’urticaire, une éruption cutanée avec démangeaisons, un essoufflement et/ou chute de la tension artérielle et perte de connaissance.</w:t>
                      </w:r>
                    </w:p>
                  </w:txbxContent>
                </v:textbox>
                <w10:wrap type="square" anchorx="margin"/>
              </v:shape>
            </w:pict>
          </mc:Fallback>
        </mc:AlternateContent>
      </w:r>
    </w:p>
    <w:p w14:paraId="522003D7" w14:textId="194A2273" w:rsidR="00D071CB" w:rsidRDefault="003907DA" w:rsidP="00DE78B3">
      <w:r w:rsidRPr="00184644">
        <w:rPr>
          <w:b/>
          <w:bCs/>
        </w:rPr>
        <w:t>Adressez-vous à votre médecin, pharmacien ou infirmier/ère</w:t>
      </w:r>
      <w:r>
        <w:t xml:space="preserve"> si vous présentez un ou plusieurs des symptômes suivants : nausées, vomissements, diarrhée ou douleur abdominale. La vaccination devra être repoussée jusqu’à ce que vous soyez rétabli(e) car la protection contre le choléra pourrait être réduite en présence de ces symptômes.</w:t>
      </w:r>
    </w:p>
    <w:p w14:paraId="6296ECE0" w14:textId="77777777" w:rsidR="00D071CB" w:rsidRDefault="00D071CB" w:rsidP="00DE78B3"/>
    <w:p w14:paraId="3B42CCF0" w14:textId="08B2408D" w:rsidR="009C5AEA" w:rsidRDefault="003907DA" w:rsidP="00DE78B3">
      <w:r>
        <w:t>C</w:t>
      </w:r>
      <w:r w:rsidR="00F52356">
        <w:t>e vaccin ne confère pas systématiquement une protection totale contre le choléra. Il est important de continuer à suivre les conseils d’hygiène et de faire particulièrement attention à la nourriture et à l’eau dans les zones touchées par le choléra.</w:t>
      </w:r>
    </w:p>
    <w:p w14:paraId="0CBCE96F" w14:textId="77777777" w:rsidR="009C5AEA" w:rsidRDefault="009C5AEA" w:rsidP="00DE78B3"/>
    <w:p w14:paraId="4653FD6C" w14:textId="3963264F" w:rsidR="009C5AEA" w:rsidRDefault="003907DA" w:rsidP="00DE78B3">
      <w:r>
        <w:t xml:space="preserve">Ce vaccin </w:t>
      </w:r>
      <w:r w:rsidR="00F52356">
        <w:t>peut être moins efficace si vous êtes infecté(e) par le VIH.</w:t>
      </w:r>
    </w:p>
    <w:p w14:paraId="1F2DF79F" w14:textId="77777777" w:rsidR="009C5AEA" w:rsidRDefault="009C5AEA" w:rsidP="00DE78B3"/>
    <w:p w14:paraId="41814B01" w14:textId="2BC16A4F" w:rsidR="009C5AEA" w:rsidRDefault="00F52356" w:rsidP="00DE78B3">
      <w:r>
        <w:t xml:space="preserve">Les bactéries du vaccin peuvent être présentes dans vos selles pendant au moins 7 jours après la prise du vaccin. Afin d’éviter toute contamination, </w:t>
      </w:r>
      <w:proofErr w:type="spellStart"/>
      <w:r>
        <w:t>lavez</w:t>
      </w:r>
      <w:proofErr w:type="spellEnd"/>
      <w:r>
        <w:t>-vous soigneusement les mains après être allé aux toilettes</w:t>
      </w:r>
      <w:r w:rsidR="0012139B">
        <w:t xml:space="preserve">, </w:t>
      </w:r>
      <w:r w:rsidR="0012139B" w:rsidRPr="0012139B">
        <w:t xml:space="preserve">après avoir changé </w:t>
      </w:r>
      <w:r w:rsidR="0012139B">
        <w:t>des</w:t>
      </w:r>
      <w:r w:rsidR="0012139B" w:rsidRPr="0012139B">
        <w:t xml:space="preserve"> couches</w:t>
      </w:r>
      <w:r>
        <w:t xml:space="preserve"> et avant de préparer un repas pendant au moins 14 jours après avoir pris </w:t>
      </w:r>
      <w:r w:rsidR="003907DA">
        <w:t>ce vaccin</w:t>
      </w:r>
      <w:r>
        <w:t>.</w:t>
      </w:r>
    </w:p>
    <w:p w14:paraId="182740B4" w14:textId="77777777" w:rsidR="009C5AEA" w:rsidRDefault="009C5AEA" w:rsidP="00DE78B3"/>
    <w:p w14:paraId="34E9FCFA" w14:textId="77777777" w:rsidR="009C5AEA" w:rsidRDefault="00F52356" w:rsidP="00DE78B3">
      <w:pPr>
        <w:pStyle w:val="HeadingStrong"/>
      </w:pPr>
      <w:r>
        <w:t>Enfants et adolescents</w:t>
      </w:r>
    </w:p>
    <w:p w14:paraId="0F9AD685" w14:textId="1D475676" w:rsidR="009C5AEA" w:rsidRDefault="00F52356" w:rsidP="00DE78B3">
      <w:r>
        <w:t xml:space="preserve">Ne donnez pas ce vaccin aux enfants âgés de moins de </w:t>
      </w:r>
      <w:r w:rsidR="0012139B">
        <w:t>2</w:t>
      </w:r>
      <w:r>
        <w:t> ans, car on ne sait pas s’il agit correctement dans cette tranche d’âge.</w:t>
      </w:r>
    </w:p>
    <w:p w14:paraId="42245BAC" w14:textId="77777777" w:rsidR="009C5AEA" w:rsidRDefault="009C5AEA" w:rsidP="00DE78B3"/>
    <w:p w14:paraId="07DDA789" w14:textId="77777777" w:rsidR="009C5AEA" w:rsidRDefault="00F52356" w:rsidP="00DE78B3">
      <w:pPr>
        <w:pStyle w:val="HeadingStrong"/>
      </w:pPr>
      <w:r>
        <w:t>Autres médicaments et Vaxchora</w:t>
      </w:r>
    </w:p>
    <w:p w14:paraId="5D70E246" w14:textId="285CE206" w:rsidR="009C5AEA" w:rsidRDefault="00F52356" w:rsidP="00DE78B3">
      <w:r>
        <w:t xml:space="preserve">Informez votre médecin, pharmacien ou infirmier/ère si vous prenez, avez récemment pris ou </w:t>
      </w:r>
      <w:r w:rsidR="003907DA">
        <w:t xml:space="preserve">pourriez </w:t>
      </w:r>
      <w:r>
        <w:t xml:space="preserve">prendre </w:t>
      </w:r>
      <w:r w:rsidR="003907DA">
        <w:t xml:space="preserve">tout </w:t>
      </w:r>
      <w:r>
        <w:t xml:space="preserve">autre médicament ou vaccin. Cela comprend les médicaments obtenus sans ordonnance, ainsi que les médicaments à base de plantes. En effet, </w:t>
      </w:r>
      <w:r w:rsidR="003907DA">
        <w:t xml:space="preserve">ce vaccin </w:t>
      </w:r>
      <w:r>
        <w:t>peut influer sur l’efficacité et les mécanismes d’autres médicaments et vaccins.</w:t>
      </w:r>
    </w:p>
    <w:p w14:paraId="4EA5776A" w14:textId="77777777" w:rsidR="009C5AEA" w:rsidRDefault="009C5AEA" w:rsidP="00DE78B3"/>
    <w:p w14:paraId="3CE2EB22" w14:textId="77777777" w:rsidR="009C5AEA" w:rsidRDefault="00F52356" w:rsidP="00DE78B3">
      <w:r>
        <w:t>Plus particulièrement, indiquez à votre médecin, à votre pharmacien ou à votre infirmier/ère si vous prenez :</w:t>
      </w:r>
    </w:p>
    <w:p w14:paraId="68635815" w14:textId="2E5765B3" w:rsidR="009C5AEA" w:rsidRDefault="00F52356" w:rsidP="00DE78B3">
      <w:pPr>
        <w:pStyle w:val="Bullet"/>
        <w:numPr>
          <w:ilvl w:val="0"/>
          <w:numId w:val="22"/>
        </w:numPr>
        <w:ind w:left="567" w:hanging="567"/>
      </w:pPr>
      <w:proofErr w:type="gramStart"/>
      <w:r>
        <w:t>des</w:t>
      </w:r>
      <w:proofErr w:type="gramEnd"/>
      <w:r>
        <w:t xml:space="preserve"> antibiotiques ; la prise simultanée d’antibiotiques peut en effet empêcher </w:t>
      </w:r>
      <w:r w:rsidR="003907DA">
        <w:t xml:space="preserve">ce vaccin </w:t>
      </w:r>
      <w:r>
        <w:t xml:space="preserve">d’agir. Prenez </w:t>
      </w:r>
      <w:r w:rsidR="003907DA">
        <w:t xml:space="preserve">ce vaccin </w:t>
      </w:r>
      <w:r>
        <w:t xml:space="preserve">au moins 14 jours après la dernière dose d’antibiotique. Évitez de prendre des antibiotiques pendant 10 jours après la prise </w:t>
      </w:r>
      <w:r w:rsidR="003907DA">
        <w:t xml:space="preserve">de ce </w:t>
      </w:r>
      <w:r>
        <w:t>vaccin.</w:t>
      </w:r>
    </w:p>
    <w:p w14:paraId="46370A93" w14:textId="1D3277A3" w:rsidR="009C5AEA" w:rsidRDefault="00F52356" w:rsidP="00DE78B3">
      <w:pPr>
        <w:pStyle w:val="Bullet"/>
        <w:numPr>
          <w:ilvl w:val="0"/>
          <w:numId w:val="22"/>
        </w:numPr>
        <w:ind w:left="567" w:hanging="567"/>
      </w:pPr>
      <w:proofErr w:type="gramStart"/>
      <w:r>
        <w:t>de</w:t>
      </w:r>
      <w:proofErr w:type="gramEnd"/>
      <w:r>
        <w:t xml:space="preserve"> la chloroquine en prévention du paludisme ; la prise simultanée de chloroquine peut en effet empêcher </w:t>
      </w:r>
      <w:r w:rsidR="003907DA">
        <w:t xml:space="preserve">ce vaccin </w:t>
      </w:r>
      <w:r>
        <w:t xml:space="preserve">d’agir. Prenez </w:t>
      </w:r>
      <w:r w:rsidR="003907DA">
        <w:t xml:space="preserve">ce vaccin </w:t>
      </w:r>
      <w:r>
        <w:t>au moins 10 jours avant de commencer à prendre de la chloroquine ou 14 jours après.</w:t>
      </w:r>
    </w:p>
    <w:p w14:paraId="489D874A" w14:textId="72EC9AD0" w:rsidR="009C5AEA" w:rsidRDefault="00F52356" w:rsidP="00DE78B3">
      <w:pPr>
        <w:pStyle w:val="Bullet"/>
        <w:numPr>
          <w:ilvl w:val="0"/>
          <w:numId w:val="22"/>
        </w:numPr>
        <w:ind w:left="567" w:hanging="567"/>
      </w:pPr>
      <w:proofErr w:type="gramStart"/>
      <w:r>
        <w:t>le</w:t>
      </w:r>
      <w:proofErr w:type="gramEnd"/>
      <w:r>
        <w:t xml:space="preserve"> vaccin contre la typhoïde Ty21a ; la prise simultanée de Ty21a peut empêcher </w:t>
      </w:r>
      <w:r w:rsidR="003907DA">
        <w:t xml:space="preserve">ce vaccin </w:t>
      </w:r>
      <w:r>
        <w:t xml:space="preserve">d’agir. Vous devez prendre </w:t>
      </w:r>
      <w:r w:rsidR="003907DA">
        <w:t xml:space="preserve">ce vaccin </w:t>
      </w:r>
      <w:r>
        <w:t>au moins 2 heures avant ou après l’administration de Ty21a.</w:t>
      </w:r>
    </w:p>
    <w:p w14:paraId="5E5BEC36" w14:textId="77777777" w:rsidR="009C5AEA" w:rsidRDefault="009C5AEA" w:rsidP="00DE78B3"/>
    <w:p w14:paraId="0781B4A7" w14:textId="79FC1991" w:rsidR="009C5AEA" w:rsidRDefault="00F52356" w:rsidP="00DE78B3">
      <w:r>
        <w:t xml:space="preserve">Si vous êtes concerné(e) par l’un des cas ci-dessus, adressez-vous à votre médecin, pharmacien ou infirmier/ère avant de prendre </w:t>
      </w:r>
      <w:r w:rsidR="003907DA">
        <w:t>ce vaccin</w:t>
      </w:r>
      <w:r>
        <w:t>.</w:t>
      </w:r>
    </w:p>
    <w:p w14:paraId="15FC26C3" w14:textId="77777777" w:rsidR="009C5AEA" w:rsidRDefault="009C5AEA" w:rsidP="00DE78B3"/>
    <w:p w14:paraId="0567D43F" w14:textId="77777777" w:rsidR="009C5AEA" w:rsidRDefault="00F52356" w:rsidP="00DE78B3">
      <w:pPr>
        <w:pStyle w:val="HeadingStrong"/>
      </w:pPr>
      <w:r>
        <w:t>Vaxchora avec des aliments et boissons</w:t>
      </w:r>
    </w:p>
    <w:p w14:paraId="7B461A59" w14:textId="576DC131" w:rsidR="009C5AEA" w:rsidRDefault="00F52356" w:rsidP="00DE78B3">
      <w:r>
        <w:t xml:space="preserve">Ne buvez pas et ne mangez pas 60 minutes avant et après avoir pris </w:t>
      </w:r>
      <w:r w:rsidR="00DD7D8C">
        <w:t>ce vaccin</w:t>
      </w:r>
      <w:r>
        <w:t>, car cela peut réduire l’efficacité du vaccin.</w:t>
      </w:r>
    </w:p>
    <w:p w14:paraId="4B6DC1A4" w14:textId="77777777" w:rsidR="009C5AEA" w:rsidRDefault="009C5AEA" w:rsidP="00DE78B3"/>
    <w:p w14:paraId="4CAA8D6A" w14:textId="77777777" w:rsidR="009C5AEA" w:rsidRDefault="00F52356" w:rsidP="00DE78B3">
      <w:pPr>
        <w:pStyle w:val="HeadingStrong"/>
      </w:pPr>
      <w:r>
        <w:t>Grossesse, allaitement et fertilité</w:t>
      </w:r>
    </w:p>
    <w:p w14:paraId="45FFF75F" w14:textId="77777777" w:rsidR="009C5AEA" w:rsidRDefault="00F52356" w:rsidP="00DE78B3">
      <w:r>
        <w:t>Si vous êtes enceinte ou que vous allaitez, si vous pensez être enceinte ou planifiez une grossesse, demandez conseil à votre médecin ou pharmacien avant de prendre ce médicament.</w:t>
      </w:r>
    </w:p>
    <w:p w14:paraId="07C1C584" w14:textId="77777777" w:rsidR="009C5AEA" w:rsidRDefault="009C5AEA" w:rsidP="00DE78B3"/>
    <w:p w14:paraId="2FC30FCD" w14:textId="77777777" w:rsidR="009C5AEA" w:rsidRDefault="00F52356" w:rsidP="00DE78B3">
      <w:pPr>
        <w:pStyle w:val="HeadingStrong"/>
      </w:pPr>
      <w:r>
        <w:lastRenderedPageBreak/>
        <w:t>Conduite de véhicules et utilisation de machines</w:t>
      </w:r>
    </w:p>
    <w:p w14:paraId="694203D0" w14:textId="1D7EAED6" w:rsidR="009C5AEA" w:rsidRDefault="00E07A58" w:rsidP="00DE78B3">
      <w:r>
        <w:t>Le vaccin Vaxchora n’a aucun effet ou a un effet négligeable sur l’aptitude à conduire des véhicules et à utiliser des machines. Cependant, certains des effets mentionnés dans la rubrique 4 (« Quels sont les effets indésirables éventuels ? ») pourraient réduire temporairement l’aptitude à conduire des véhicules ou à utiliser des machines.</w:t>
      </w:r>
      <w:r w:rsidR="00DD7D8C">
        <w:t xml:space="preserve"> É</w:t>
      </w:r>
      <w:r w:rsidR="00F52356">
        <w:t>vitez de conduire ou d’utiliser une machine si vous ne vous sentez pas bien.</w:t>
      </w:r>
    </w:p>
    <w:p w14:paraId="24992253" w14:textId="77777777" w:rsidR="009C5AEA" w:rsidRDefault="009C5AEA" w:rsidP="00DE78B3"/>
    <w:p w14:paraId="21C682E0" w14:textId="20061525" w:rsidR="009C5AEA" w:rsidRDefault="00F52356" w:rsidP="00DE78B3">
      <w:pPr>
        <w:pStyle w:val="HeadingStrong"/>
      </w:pPr>
      <w:r>
        <w:t>Vaxchora contient du lactose, du saccharose et du sodium</w:t>
      </w:r>
    </w:p>
    <w:p w14:paraId="5797921B" w14:textId="2465F845" w:rsidR="009C5AEA" w:rsidRDefault="00F52356" w:rsidP="00DE78B3">
      <w:r>
        <w:t>Si votre médecin vous a informé</w:t>
      </w:r>
      <w:r w:rsidR="00DD7D8C">
        <w:t>(e)</w:t>
      </w:r>
      <w:r>
        <w:t xml:space="preserve"> </w:t>
      </w:r>
      <w:r w:rsidR="00DD7D8C">
        <w:t>d’</w:t>
      </w:r>
      <w:r>
        <w:t>une intolérance à certains sucres, contactez-le avant de prendre ce médicament.</w:t>
      </w:r>
    </w:p>
    <w:p w14:paraId="6CCD01A1" w14:textId="77777777" w:rsidR="009C5AEA" w:rsidRDefault="009C5AEA" w:rsidP="00DE78B3"/>
    <w:p w14:paraId="0FC465F1" w14:textId="4912698D" w:rsidR="009C5AEA" w:rsidRDefault="00F52356" w:rsidP="00DE78B3">
      <w:r>
        <w:t>Ce vaccin contient 863 mg de sodium (composant principal du sel de cuisine/table) par dose. Cela équivaut à 43</w:t>
      </w:r>
      <w:r w:rsidR="00DD7D8C">
        <w:t> </w:t>
      </w:r>
      <w:r>
        <w:t>% de l’apport alimentaire quotidien recommandé de sodium pour un adulte. Veuillez en tenir compte si vous suivez un régime pauvre en sodium.</w:t>
      </w:r>
    </w:p>
    <w:p w14:paraId="7C878A1E" w14:textId="77777777" w:rsidR="009C5AEA" w:rsidRDefault="009C5AEA" w:rsidP="00DE78B3"/>
    <w:p w14:paraId="76CA8A3F" w14:textId="77777777" w:rsidR="009C5AEA" w:rsidRDefault="009C5AEA" w:rsidP="00DE78B3"/>
    <w:p w14:paraId="53267BB6" w14:textId="46DB49DA" w:rsidR="009C5AEA" w:rsidRPr="00903F7D" w:rsidRDefault="00F52356" w:rsidP="00903F7D">
      <w:pPr>
        <w:rPr>
          <w:b/>
          <w:bCs/>
        </w:rPr>
      </w:pPr>
      <w:r w:rsidRPr="009135CD">
        <w:rPr>
          <w:b/>
          <w:bCs/>
          <w:color w:val="FFFFFF" w:themeColor="background1"/>
          <w:highlight w:val="black"/>
        </w:rPr>
        <w:t>3.</w:t>
      </w:r>
      <w:r w:rsidRPr="009135CD">
        <w:rPr>
          <w:b/>
          <w:bCs/>
          <w:color w:val="FFFFFF" w:themeColor="background1"/>
          <w:highlight w:val="black"/>
        </w:rPr>
        <w:tab/>
        <w:t>Comment prendre Vaxchora</w:t>
      </w:r>
    </w:p>
    <w:p w14:paraId="0664D375" w14:textId="77777777" w:rsidR="009C5AEA" w:rsidRDefault="009C5AEA" w:rsidP="00DE78B3"/>
    <w:p w14:paraId="6510D6EA" w14:textId="39AED538" w:rsidR="009C5AEA" w:rsidRDefault="00F52356" w:rsidP="00DE78B3">
      <w:r>
        <w:t>Veillez à toujours prendre ce vaccin en suivant exactement les indications de votre médecin, pharmacien ou infirmier/ère. Vérifiez auprès de votre médecin, pharmacien ou infirmier/ère en cas de doute.</w:t>
      </w:r>
    </w:p>
    <w:p w14:paraId="5211BDAD" w14:textId="77777777" w:rsidR="009C5AEA" w:rsidRDefault="009C5AEA" w:rsidP="00DE78B3"/>
    <w:p w14:paraId="0DA67A8E" w14:textId="60BC68CC" w:rsidR="009C5AEA" w:rsidRDefault="00F52356" w:rsidP="00DE78B3">
      <w:r>
        <w:t>La dose recommandée correspond au contenu des deux sachets dans l’emballage.</w:t>
      </w:r>
      <w:r w:rsidR="0012139B">
        <w:t xml:space="preserve"> </w:t>
      </w:r>
      <w:r w:rsidR="0012139B" w:rsidRPr="0012139B">
        <w:t xml:space="preserve">Toutefois, pour les enfants </w:t>
      </w:r>
      <w:r w:rsidR="0012139B">
        <w:t xml:space="preserve">âgés de </w:t>
      </w:r>
      <w:r w:rsidR="008F449B">
        <w:t>2</w:t>
      </w:r>
      <w:r w:rsidR="00DD7D8C">
        <w:t> </w:t>
      </w:r>
      <w:r w:rsidR="008F449B">
        <w:t>ans à moins</w:t>
      </w:r>
      <w:r w:rsidR="0012139B">
        <w:t xml:space="preserve"> de 6 </w:t>
      </w:r>
      <w:r w:rsidR="00DB32B4">
        <w:t>ans, prenez note de l’étape </w:t>
      </w:r>
      <w:r w:rsidR="0012139B" w:rsidRPr="0012139B">
        <w:t xml:space="preserve">8 dans les instructions </w:t>
      </w:r>
      <w:r w:rsidR="00DB32B4">
        <w:t>relatives à</w:t>
      </w:r>
      <w:r w:rsidR="0012139B" w:rsidRPr="0012139B">
        <w:t xml:space="preserve"> la préparation du vaccin, indiquées ci-dessous.</w:t>
      </w:r>
    </w:p>
    <w:p w14:paraId="46B851DB" w14:textId="77777777" w:rsidR="009C5AEA" w:rsidRDefault="009C5AEA" w:rsidP="00DE78B3"/>
    <w:p w14:paraId="28292836" w14:textId="7127811B" w:rsidR="009C5AEA" w:rsidRDefault="00F52356" w:rsidP="00DE78B3">
      <w:r>
        <w:t>La protection contre le choléra est effective dans un délai de 10 jours après la prise de Vaxchora. Votre médecin, pharmacien ou infirmier/ère vous indiquera à quel moment prendre le vaccin avant votre voyage.</w:t>
      </w:r>
    </w:p>
    <w:p w14:paraId="4DF85770" w14:textId="77777777" w:rsidR="009C5AEA" w:rsidRDefault="009C5AEA" w:rsidP="00DE78B3"/>
    <w:p w14:paraId="4B3F49E4" w14:textId="77777777" w:rsidR="009C5AEA" w:rsidRDefault="00F52356" w:rsidP="00DE78B3">
      <w:pPr>
        <w:pStyle w:val="HeadingStrong"/>
      </w:pPr>
      <w:r>
        <w:lastRenderedPageBreak/>
        <w:t>Instructions :</w:t>
      </w:r>
    </w:p>
    <w:p w14:paraId="56028060" w14:textId="77777777" w:rsidR="009C5AEA" w:rsidRDefault="009C5AEA" w:rsidP="00DE78B3">
      <w:pPr>
        <w:keepNex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42"/>
        <w:gridCol w:w="3686"/>
        <w:gridCol w:w="4375"/>
        <w:gridCol w:w="19"/>
      </w:tblGrid>
      <w:tr w:rsidR="009C5AEA" w14:paraId="6E46BB10" w14:textId="77777777">
        <w:trPr>
          <w:gridAfter w:val="1"/>
          <w:wAfter w:w="19" w:type="dxa"/>
          <w:cantSplit/>
          <w:trHeight w:val="2600"/>
        </w:trPr>
        <w:tc>
          <w:tcPr>
            <w:tcW w:w="9303" w:type="dxa"/>
            <w:gridSpan w:val="3"/>
          </w:tcPr>
          <w:p w14:paraId="3903C6D5" w14:textId="77777777" w:rsidR="009C5AEA" w:rsidRDefault="00F52356" w:rsidP="00DE78B3">
            <w:pPr>
              <w:pStyle w:val="HeadingStrong"/>
              <w:jc w:val="center"/>
            </w:pPr>
            <w:r>
              <w:t>PRÉPAREZ CE VACCIN EN SUIVANT EXACTEMENT LES INSTRUCTIONS DE CETTE NOTICE</w:t>
            </w:r>
          </w:p>
          <w:p w14:paraId="60EF98B1" w14:textId="77777777" w:rsidR="009C5AEA" w:rsidRDefault="009C5AEA" w:rsidP="00DE78B3">
            <w:pPr>
              <w:pStyle w:val="NormalKeep"/>
            </w:pPr>
          </w:p>
          <w:p w14:paraId="03E3F6C9" w14:textId="409386FB" w:rsidR="00A664FC" w:rsidRDefault="00A664FC" w:rsidP="00A664FC">
            <w:pPr>
              <w:pStyle w:val="HeadingStrong"/>
            </w:pPr>
            <w:r>
              <w:rPr>
                <w:noProof/>
              </w:rPr>
              <mc:AlternateContent>
                <mc:Choice Requires="wps">
                  <w:drawing>
                    <wp:anchor distT="45720" distB="45720" distL="114300" distR="114300" simplePos="0" relativeHeight="251661824" behindDoc="0" locked="0" layoutInCell="1" allowOverlap="1" wp14:anchorId="353D0B2C" wp14:editId="275BAE08">
                      <wp:simplePos x="0" y="0"/>
                      <wp:positionH relativeFrom="column">
                        <wp:posOffset>-2540</wp:posOffset>
                      </wp:positionH>
                      <wp:positionV relativeFrom="paragraph">
                        <wp:posOffset>291465</wp:posOffset>
                      </wp:positionV>
                      <wp:extent cx="5683250" cy="1404620"/>
                      <wp:effectExtent l="0" t="0" r="12700" b="17145"/>
                      <wp:wrapSquare wrapText="bothSides"/>
                      <wp:docPr id="753771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404620"/>
                              </a:xfrm>
                              <a:prstGeom prst="rect">
                                <a:avLst/>
                              </a:prstGeom>
                              <a:solidFill>
                                <a:schemeClr val="bg1">
                                  <a:lumMod val="75000"/>
                                </a:schemeClr>
                              </a:solidFill>
                              <a:ln w="9525">
                                <a:solidFill>
                                  <a:schemeClr val="bg1">
                                    <a:lumMod val="75000"/>
                                  </a:schemeClr>
                                </a:solidFill>
                                <a:miter lim="800000"/>
                                <a:headEnd/>
                                <a:tailEnd/>
                              </a:ln>
                            </wps:spPr>
                            <wps:txbx>
                              <w:txbxContent>
                                <w:p w14:paraId="330E0E0F" w14:textId="3BBCDBBB" w:rsidR="00A664FC" w:rsidRDefault="00A664FC" w:rsidP="00A664FC">
                                  <w:r w:rsidRPr="00A664FC">
                                    <w:rPr>
                                      <w:u w:val="single"/>
                                    </w:rPr>
                                    <w:t>L’efficacité</w:t>
                                  </w:r>
                                  <w:r>
                                    <w:t xml:space="preserve"> du vaccin Vaxchora </w:t>
                                  </w:r>
                                  <w:r w:rsidRPr="00A664FC">
                                    <w:rPr>
                                      <w:u w:val="single"/>
                                    </w:rPr>
                                    <w:t>risque d’être altérée</w:t>
                                  </w:r>
                                  <w:r>
                                    <w:t xml:space="preserve"> dans les situations suivantes :</w:t>
                                  </w:r>
                                </w:p>
                                <w:p w14:paraId="3D3E1151" w14:textId="77777777" w:rsidR="00A664FC" w:rsidRDefault="00A664FC" w:rsidP="00A664FC"/>
                                <w:p w14:paraId="112B2F4A" w14:textId="77777777" w:rsidR="00A664FC" w:rsidRPr="00BC617B" w:rsidRDefault="00A664FC" w:rsidP="00A664FC">
                                  <w:pPr>
                                    <w:pStyle w:val="Bullet"/>
                                    <w:tabs>
                                      <w:tab w:val="left" w:pos="1134"/>
                                    </w:tabs>
                                    <w:ind w:left="1134" w:hanging="567"/>
                                    <w:rPr>
                                      <w:noProof/>
                                      <w:lang w:val="fr-CH" w:eastAsia="en-GB"/>
                                    </w:rPr>
                                  </w:pPr>
                                  <w:r w:rsidRPr="00A3454B">
                                    <w:rPr>
                                      <w:noProof/>
                                      <w:lang w:val="fr-CH" w:eastAsia="en-GB"/>
                                    </w:rPr>
                                    <w:t>Conservation inadéquate ; le vaccin doit être conservé au réfrigérateur</w:t>
                                  </w:r>
                                  <w:r>
                                    <w:rPr>
                                      <w:noProof/>
                                      <w:lang w:val="fr-CH" w:eastAsia="en-GB"/>
                                    </w:rPr>
                                    <w:t xml:space="preserve"> (entre 2 °C et 8 °C)</w:t>
                                  </w:r>
                                  <w:r w:rsidRPr="00A3454B">
                                    <w:rPr>
                                      <w:noProof/>
                                      <w:lang w:val="fr-CH" w:eastAsia="en-GB"/>
                                    </w:rPr>
                                    <w:t>.</w:t>
                                  </w:r>
                                </w:p>
                                <w:p w14:paraId="40C1DBB6" w14:textId="77777777" w:rsidR="00A664FC" w:rsidRPr="00BC617B" w:rsidRDefault="00A664FC" w:rsidP="00A664FC">
                                  <w:pPr>
                                    <w:pStyle w:val="Bullet"/>
                                    <w:tabs>
                                      <w:tab w:val="left" w:pos="1134"/>
                                    </w:tabs>
                                    <w:ind w:left="1134" w:hanging="567"/>
                                    <w:rPr>
                                      <w:noProof/>
                                      <w:lang w:val="fr-CH" w:eastAsia="en-GB"/>
                                    </w:rPr>
                                  </w:pPr>
                                  <w:r w:rsidRPr="00A3454B">
                                    <w:rPr>
                                      <w:noProof/>
                                      <w:lang w:val="fr-CH" w:eastAsia="en-GB"/>
                                    </w:rPr>
                                    <w:t>Utilisation d’une quantité d’eau incorrecte ; vous devez utiliser 100 mL d’eau.</w:t>
                                  </w:r>
                                </w:p>
                                <w:p w14:paraId="6816A6F0" w14:textId="77777777" w:rsidR="00A664FC" w:rsidRPr="00BC617B" w:rsidRDefault="00A664FC" w:rsidP="00A664FC">
                                  <w:pPr>
                                    <w:pStyle w:val="Bullet"/>
                                    <w:tabs>
                                      <w:tab w:val="left" w:pos="1134"/>
                                    </w:tabs>
                                    <w:ind w:left="1134" w:hanging="567"/>
                                    <w:rPr>
                                      <w:noProof/>
                                      <w:lang w:val="fr-CH" w:eastAsia="en-GB"/>
                                    </w:rPr>
                                  </w:pPr>
                                  <w:r w:rsidRPr="00A3454B">
                                    <w:rPr>
                                      <w:noProof/>
                                      <w:lang w:val="fr-CH" w:eastAsia="en-GB"/>
                                    </w:rPr>
                                    <w:t xml:space="preserve">Utilisation du type d’eau inadéquat ; vous devez utiliser de l’eau en bouteille, </w:t>
                                  </w:r>
                                  <w:r>
                                    <w:rPr>
                                      <w:noProof/>
                                      <w:lang w:val="fr-CH" w:eastAsia="en-GB"/>
                                    </w:rPr>
                                    <w:t>plate ou gazeuse</w:t>
                                  </w:r>
                                  <w:r w:rsidRPr="00A3454B">
                                    <w:rPr>
                                      <w:noProof/>
                                      <w:lang w:val="fr-CH" w:eastAsia="en-GB"/>
                                    </w:rPr>
                                    <w:t>, froide ou à température ambiante.</w:t>
                                  </w:r>
                                </w:p>
                                <w:p w14:paraId="480F2C83" w14:textId="77777777" w:rsidR="00A664FC" w:rsidRPr="00BC617B" w:rsidRDefault="00A664FC" w:rsidP="00A664FC">
                                  <w:pPr>
                                    <w:pStyle w:val="Bullet"/>
                                    <w:tabs>
                                      <w:tab w:val="left" w:pos="1134"/>
                                    </w:tabs>
                                    <w:ind w:left="1134" w:hanging="567"/>
                                    <w:rPr>
                                      <w:noProof/>
                                      <w:lang w:val="fr-CH" w:eastAsia="en-GB"/>
                                    </w:rPr>
                                  </w:pPr>
                                  <w:r w:rsidRPr="00A3454B">
                                    <w:rPr>
                                      <w:noProof/>
                                      <w:lang w:val="fr-CH" w:eastAsia="en-GB"/>
                                    </w:rPr>
                                    <w:t>Si vous mélangez les sachets dans le mauvais ordre ; le sachet</w:t>
                                  </w:r>
                                  <w:r>
                                    <w:rPr>
                                      <w:noProof/>
                                      <w:lang w:val="fr-CH" w:eastAsia="en-GB"/>
                                    </w:rPr>
                                    <w:t> </w:t>
                                  </w:r>
                                  <w:r w:rsidRPr="00A3454B">
                                    <w:rPr>
                                      <w:noProof/>
                                      <w:lang w:val="fr-CH" w:eastAsia="en-GB"/>
                                    </w:rPr>
                                    <w:t>1 doit d’abord être ajouté à l’eau. Si les sachets sont mélangés dans le mauvais ordre, vous devez jeter le vaccin et demander une dose de remplacement.</w:t>
                                  </w:r>
                                </w:p>
                                <w:p w14:paraId="38C9CA34" w14:textId="5E53E6B8" w:rsidR="00A664FC" w:rsidRPr="00A664FC" w:rsidRDefault="00A664FC" w:rsidP="00A664FC">
                                  <w:pPr>
                                    <w:pStyle w:val="Bullet"/>
                                    <w:tabs>
                                      <w:tab w:val="left" w:pos="1134"/>
                                    </w:tabs>
                                    <w:ind w:left="1134" w:hanging="567"/>
                                    <w:rPr>
                                      <w:noProof/>
                                      <w:lang w:val="en-GB" w:eastAsia="en-GB"/>
                                    </w:rPr>
                                  </w:pPr>
                                  <w:r w:rsidRPr="00A3454B">
                                    <w:rPr>
                                      <w:noProof/>
                                      <w:lang w:val="fr-CH" w:eastAsia="en-GB"/>
                                    </w:rPr>
                                    <w:t xml:space="preserve">Ne buvez pas et ne mangez pas 60 minutes avant et après la prise du vaccin. </w:t>
                                  </w:r>
                                  <w:r w:rsidRPr="00676D68">
                                    <w:rPr>
                                      <w:noProof/>
                                      <w:lang w:val="en-GB" w:eastAsia="en-GB"/>
                                    </w:rPr>
                                    <w:t>Manger ou boire peut réduire l’efficacité du vaccin.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3D0B2C" id="_x0000_s1027" type="#_x0000_t202" style="position:absolute;margin-left:-.2pt;margin-top:22.95pt;width:447.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" fillcolor="#bfbfbf [2412]" strokecolor="#bfbfbf [2412]">
                      <v:textbox style="mso-fit-shape-to-text:t">
                        <w:txbxContent>
                          <w:p w14:paraId="330E0E0F" w14:textId="3BBCDBBB" w:rsidR="00A664FC" w:rsidRDefault="00A664FC" w:rsidP="00A664FC">
                            <w:r w:rsidRPr="00A664FC">
                              <w:rPr>
                                <w:u w:val="single"/>
                              </w:rPr>
                              <w:t>L’efficacité</w:t>
                            </w:r>
                            <w:r>
                              <w:t xml:space="preserve"> du vaccin Vaxchora </w:t>
                            </w:r>
                            <w:r w:rsidRPr="00A664FC">
                              <w:rPr>
                                <w:u w:val="single"/>
                              </w:rPr>
                              <w:t>risque d’être altérée</w:t>
                            </w:r>
                            <w:r>
                              <w:t xml:space="preserve"> dans les situations suivantes :</w:t>
                            </w:r>
                          </w:p>
                          <w:p w14:paraId="3D3E1151" w14:textId="77777777" w:rsidR="00A664FC" w:rsidRDefault="00A664FC" w:rsidP="00A664FC"/>
                          <w:p w14:paraId="112B2F4A" w14:textId="77777777" w:rsidR="00A664FC" w:rsidRPr="00BC617B" w:rsidRDefault="00A664FC" w:rsidP="00A664FC">
                            <w:pPr>
                              <w:pStyle w:val="Bullet"/>
                              <w:tabs>
                                <w:tab w:val="left" w:pos="1134"/>
                              </w:tabs>
                              <w:ind w:left="1134" w:hanging="567"/>
                              <w:rPr>
                                <w:noProof/>
                                <w:lang w:val="fr-CH" w:eastAsia="en-GB"/>
                              </w:rPr>
                            </w:pPr>
                            <w:r w:rsidRPr="00A3454B">
                              <w:rPr>
                                <w:noProof/>
                                <w:lang w:val="fr-CH" w:eastAsia="en-GB"/>
                              </w:rPr>
                              <w:t>Conservation inadéquate ; le vaccin doit être conservé au réfrigérateur</w:t>
                            </w:r>
                            <w:r>
                              <w:rPr>
                                <w:noProof/>
                                <w:lang w:val="fr-CH" w:eastAsia="en-GB"/>
                              </w:rPr>
                              <w:t xml:space="preserve"> (entre 2 °C et 8 °C)</w:t>
                            </w:r>
                            <w:r w:rsidRPr="00A3454B">
                              <w:rPr>
                                <w:noProof/>
                                <w:lang w:val="fr-CH" w:eastAsia="en-GB"/>
                              </w:rPr>
                              <w:t>.</w:t>
                            </w:r>
                          </w:p>
                          <w:p w14:paraId="40C1DBB6" w14:textId="77777777" w:rsidR="00A664FC" w:rsidRPr="00BC617B" w:rsidRDefault="00A664FC" w:rsidP="00A664FC">
                            <w:pPr>
                              <w:pStyle w:val="Bullet"/>
                              <w:tabs>
                                <w:tab w:val="left" w:pos="1134"/>
                              </w:tabs>
                              <w:ind w:left="1134" w:hanging="567"/>
                              <w:rPr>
                                <w:noProof/>
                                <w:lang w:val="fr-CH" w:eastAsia="en-GB"/>
                              </w:rPr>
                            </w:pPr>
                            <w:r w:rsidRPr="00A3454B">
                              <w:rPr>
                                <w:noProof/>
                                <w:lang w:val="fr-CH" w:eastAsia="en-GB"/>
                              </w:rPr>
                              <w:t>Utilisation d’une quantité d’eau incorrecte ; vous devez utiliser 100 mL d’eau.</w:t>
                            </w:r>
                          </w:p>
                          <w:p w14:paraId="6816A6F0" w14:textId="77777777" w:rsidR="00A664FC" w:rsidRPr="00BC617B" w:rsidRDefault="00A664FC" w:rsidP="00A664FC">
                            <w:pPr>
                              <w:pStyle w:val="Bullet"/>
                              <w:tabs>
                                <w:tab w:val="left" w:pos="1134"/>
                              </w:tabs>
                              <w:ind w:left="1134" w:hanging="567"/>
                              <w:rPr>
                                <w:noProof/>
                                <w:lang w:val="fr-CH" w:eastAsia="en-GB"/>
                              </w:rPr>
                            </w:pPr>
                            <w:r w:rsidRPr="00A3454B">
                              <w:rPr>
                                <w:noProof/>
                                <w:lang w:val="fr-CH" w:eastAsia="en-GB"/>
                              </w:rPr>
                              <w:t xml:space="preserve">Utilisation du type d’eau inadéquat ; vous devez utiliser de l’eau en bouteille, </w:t>
                            </w:r>
                            <w:r>
                              <w:rPr>
                                <w:noProof/>
                                <w:lang w:val="fr-CH" w:eastAsia="en-GB"/>
                              </w:rPr>
                              <w:t>plate ou gazeuse</w:t>
                            </w:r>
                            <w:r w:rsidRPr="00A3454B">
                              <w:rPr>
                                <w:noProof/>
                                <w:lang w:val="fr-CH" w:eastAsia="en-GB"/>
                              </w:rPr>
                              <w:t>, froide ou à température ambiante.</w:t>
                            </w:r>
                          </w:p>
                          <w:p w14:paraId="480F2C83" w14:textId="77777777" w:rsidR="00A664FC" w:rsidRPr="00BC617B" w:rsidRDefault="00A664FC" w:rsidP="00A664FC">
                            <w:pPr>
                              <w:pStyle w:val="Bullet"/>
                              <w:tabs>
                                <w:tab w:val="left" w:pos="1134"/>
                              </w:tabs>
                              <w:ind w:left="1134" w:hanging="567"/>
                              <w:rPr>
                                <w:noProof/>
                                <w:lang w:val="fr-CH" w:eastAsia="en-GB"/>
                              </w:rPr>
                            </w:pPr>
                            <w:r w:rsidRPr="00A3454B">
                              <w:rPr>
                                <w:noProof/>
                                <w:lang w:val="fr-CH" w:eastAsia="en-GB"/>
                              </w:rPr>
                              <w:t>Si vous mélangez les sachets dans le mauvais ordre ; le sachet</w:t>
                            </w:r>
                            <w:r>
                              <w:rPr>
                                <w:noProof/>
                                <w:lang w:val="fr-CH" w:eastAsia="en-GB"/>
                              </w:rPr>
                              <w:t> </w:t>
                            </w:r>
                            <w:r w:rsidRPr="00A3454B">
                              <w:rPr>
                                <w:noProof/>
                                <w:lang w:val="fr-CH" w:eastAsia="en-GB"/>
                              </w:rPr>
                              <w:t>1 doit d’abord être ajouté à l’eau. Si les sachets sont mélangés dans le mauvais ordre, vous devez jeter le vaccin et demander une dose de remplacement.</w:t>
                            </w:r>
                          </w:p>
                          <w:p w14:paraId="38C9CA34" w14:textId="5E53E6B8" w:rsidR="00A664FC" w:rsidRPr="00A664FC" w:rsidRDefault="00A664FC" w:rsidP="00A664FC">
                            <w:pPr>
                              <w:pStyle w:val="Bullet"/>
                              <w:tabs>
                                <w:tab w:val="left" w:pos="1134"/>
                              </w:tabs>
                              <w:ind w:left="1134" w:hanging="567"/>
                              <w:rPr>
                                <w:noProof/>
                                <w:lang w:val="en-GB" w:eastAsia="en-GB"/>
                              </w:rPr>
                            </w:pPr>
                            <w:r w:rsidRPr="00A3454B">
                              <w:rPr>
                                <w:noProof/>
                                <w:lang w:val="fr-CH" w:eastAsia="en-GB"/>
                              </w:rPr>
                              <w:t xml:space="preserve">Ne buvez pas et ne mangez pas 60 minutes avant et après la prise du vaccin. </w:t>
                            </w:r>
                            <w:r w:rsidRPr="00676D68">
                              <w:rPr>
                                <w:noProof/>
                                <w:lang w:val="en-GB" w:eastAsia="en-GB"/>
                              </w:rPr>
                              <w:t>Manger ou boire peut réduire l’efficacité du vaccin.</w:t>
                            </w:r>
                          </w:p>
                        </w:txbxContent>
                      </v:textbox>
                      <w10:wrap type="square"/>
                    </v:shape>
                  </w:pict>
                </mc:Fallback>
              </mc:AlternateContent>
            </w:r>
            <w:r w:rsidR="00F52356">
              <w:t>Avant de commencer, veuillez lire les indications suivantes :</w:t>
            </w:r>
          </w:p>
          <w:p w14:paraId="47100380" w14:textId="1DD80928" w:rsidR="009C5AEA" w:rsidRDefault="00F52356" w:rsidP="00DE78B3">
            <w:r>
              <w:t>Ne vous touchez pas les yeux lorsque vous préparez le vaccin afin d’éviter toute contamination.</w:t>
            </w:r>
          </w:p>
          <w:p w14:paraId="4C6329A4" w14:textId="77777777" w:rsidR="009C5AEA" w:rsidRDefault="009C5AEA" w:rsidP="00DE78B3"/>
          <w:p w14:paraId="13415C89" w14:textId="77777777" w:rsidR="009C5AEA" w:rsidRDefault="00F52356" w:rsidP="00DE78B3">
            <w:r>
              <w:t>Si vous renversez de la poudre ou du liquide, nettoyez la surface à l’eau chaude et au savon ou avec un désinfectant antibactérien.</w:t>
            </w:r>
          </w:p>
          <w:p w14:paraId="4D87B315" w14:textId="77777777" w:rsidR="009C5AEA" w:rsidRDefault="009C5AEA" w:rsidP="00DE78B3"/>
          <w:p w14:paraId="69EE191F" w14:textId="77777777" w:rsidR="009C5AEA" w:rsidRDefault="00F52356" w:rsidP="00DE78B3">
            <w:r>
              <w:t>Si la quantité renversée est importante (plusieurs gouttes de liquide ou grains de poudre), jetez le vaccin et demandez-en un nouveau à votre médecin ou pharmacien ; NE prenez PAS le reste du médicament.</w:t>
            </w:r>
          </w:p>
        </w:tc>
      </w:tr>
      <w:tr w:rsidR="009C5AEA" w14:paraId="15B8DD70" w14:textId="77777777">
        <w:trPr>
          <w:cantSplit/>
        </w:trPr>
        <w:tc>
          <w:tcPr>
            <w:tcW w:w="1242" w:type="dxa"/>
            <w:tcBorders>
              <w:top w:val="single" w:sz="2" w:space="0" w:color="auto"/>
              <w:left w:val="single" w:sz="2" w:space="0" w:color="auto"/>
              <w:bottom w:val="single" w:sz="2" w:space="0" w:color="auto"/>
              <w:right w:val="nil"/>
            </w:tcBorders>
          </w:tcPr>
          <w:p w14:paraId="2A8337DF" w14:textId="77777777" w:rsidR="009C5AEA" w:rsidRDefault="00F52356" w:rsidP="00DE78B3">
            <w:r>
              <w:t>Étape 1</w:t>
            </w:r>
          </w:p>
        </w:tc>
        <w:tc>
          <w:tcPr>
            <w:tcW w:w="3686" w:type="dxa"/>
            <w:tcBorders>
              <w:top w:val="single" w:sz="2" w:space="0" w:color="auto"/>
              <w:left w:val="nil"/>
              <w:bottom w:val="single" w:sz="2" w:space="0" w:color="auto"/>
              <w:right w:val="nil"/>
            </w:tcBorders>
          </w:tcPr>
          <w:p w14:paraId="07031E96" w14:textId="77777777" w:rsidR="009C5AEA" w:rsidRDefault="009C5AEA" w:rsidP="00DE78B3">
            <w:pPr>
              <w:jc w:val="center"/>
            </w:pPr>
          </w:p>
        </w:tc>
        <w:tc>
          <w:tcPr>
            <w:tcW w:w="4394" w:type="dxa"/>
            <w:gridSpan w:val="2"/>
            <w:tcBorders>
              <w:top w:val="single" w:sz="2" w:space="0" w:color="auto"/>
              <w:left w:val="nil"/>
              <w:bottom w:val="single" w:sz="2" w:space="0" w:color="auto"/>
              <w:right w:val="single" w:sz="2" w:space="0" w:color="auto"/>
            </w:tcBorders>
          </w:tcPr>
          <w:p w14:paraId="1DB9194A" w14:textId="77777777" w:rsidR="009C5AEA" w:rsidRDefault="00F52356" w:rsidP="00DE78B3">
            <w:r>
              <w:t>Réunissez le matériel nécessaire :</w:t>
            </w:r>
          </w:p>
          <w:p w14:paraId="610BF995" w14:textId="137A3855" w:rsidR="009C5AEA" w:rsidRDefault="00BD1A43" w:rsidP="00DE78B3">
            <w:pPr>
              <w:pStyle w:val="Bullet"/>
            </w:pPr>
            <w:r>
              <w:t xml:space="preserve">Un verre </w:t>
            </w:r>
            <w:r w:rsidR="00F52356">
              <w:t>propre</w:t>
            </w:r>
          </w:p>
          <w:p w14:paraId="2372B0D5" w14:textId="52CFC189" w:rsidR="009C5AEA" w:rsidRDefault="00604A2A" w:rsidP="00DE78B3">
            <w:pPr>
              <w:pStyle w:val="Bullet"/>
            </w:pPr>
            <w:r>
              <w:t>U</w:t>
            </w:r>
            <w:r w:rsidR="00BD1A43">
              <w:t>ne cuillère</w:t>
            </w:r>
            <w:r w:rsidR="00BC0497">
              <w:t>, ou un agitateur,</w:t>
            </w:r>
            <w:r w:rsidR="00BD1A43">
              <w:t xml:space="preserve"> </w:t>
            </w:r>
            <w:r w:rsidR="00F52356">
              <w:t>pour mélanger</w:t>
            </w:r>
          </w:p>
          <w:p w14:paraId="01F69DD8" w14:textId="51C16746" w:rsidR="009C5AEA" w:rsidRDefault="00BD1A43" w:rsidP="00DE78B3">
            <w:pPr>
              <w:pStyle w:val="Bullet"/>
            </w:pPr>
            <w:r>
              <w:t>De l’e</w:t>
            </w:r>
            <w:r w:rsidR="00F52356">
              <w:t>au en bouteille (</w:t>
            </w:r>
            <w:r w:rsidR="00335E01">
              <w:t>plate</w:t>
            </w:r>
            <w:r w:rsidR="00020452">
              <w:t xml:space="preserve"> </w:t>
            </w:r>
            <w:r w:rsidR="00DD1E91">
              <w:t>ou gazeuse</w:t>
            </w:r>
            <w:r w:rsidR="00F52356">
              <w:t xml:space="preserve">, froide ou à température ambiante, </w:t>
            </w:r>
            <w:r w:rsidR="00B166D7">
              <w:t>inférieure à</w:t>
            </w:r>
            <w:r>
              <w:t xml:space="preserve"> </w:t>
            </w:r>
            <w:r w:rsidR="00F52356">
              <w:t>25</w:t>
            </w:r>
            <w:r w:rsidR="00DD7D8C">
              <w:t> </w:t>
            </w:r>
            <w:r w:rsidR="00F52356">
              <w:t>°C)</w:t>
            </w:r>
          </w:p>
          <w:p w14:paraId="6D121F5D" w14:textId="3B46EF6A" w:rsidR="009C5AEA" w:rsidRDefault="00F52356" w:rsidP="00DE78B3">
            <w:pPr>
              <w:pStyle w:val="Bullet"/>
            </w:pPr>
            <w:r>
              <w:t>U</w:t>
            </w:r>
            <w:r w:rsidR="00BD1A43">
              <w:t>n u</w:t>
            </w:r>
            <w:r>
              <w:t>stensile</w:t>
            </w:r>
            <w:r w:rsidR="00604A2A">
              <w:t xml:space="preserve"> de mesure</w:t>
            </w:r>
            <w:r>
              <w:t xml:space="preserve"> (</w:t>
            </w:r>
            <w:r w:rsidR="00604A2A">
              <w:t>par ex.</w:t>
            </w:r>
            <w:r w:rsidR="00BD1A43">
              <w:t xml:space="preserve"> un</w:t>
            </w:r>
            <w:r>
              <w:t xml:space="preserve"> verre</w:t>
            </w:r>
            <w:r w:rsidR="00604A2A">
              <w:t>-</w:t>
            </w:r>
            <w:r>
              <w:t>mesureur) permettant de mesurer 100 </w:t>
            </w:r>
            <w:proofErr w:type="spellStart"/>
            <w:r>
              <w:t>mL</w:t>
            </w:r>
            <w:proofErr w:type="spellEnd"/>
            <w:r>
              <w:t xml:space="preserve"> d’eau en bouteille</w:t>
            </w:r>
          </w:p>
          <w:p w14:paraId="6B4A1FF5" w14:textId="2B5B7CC4" w:rsidR="009C5AEA" w:rsidRDefault="00BD1A43" w:rsidP="00DE78B3">
            <w:pPr>
              <w:pStyle w:val="Bullet"/>
            </w:pPr>
            <w:r>
              <w:t>Des c</w:t>
            </w:r>
            <w:r w:rsidR="00F52356">
              <w:t>iseaux</w:t>
            </w:r>
          </w:p>
        </w:tc>
      </w:tr>
      <w:tr w:rsidR="009C5AEA" w14:paraId="2029D34D" w14:textId="77777777">
        <w:trPr>
          <w:cantSplit/>
        </w:trPr>
        <w:tc>
          <w:tcPr>
            <w:tcW w:w="1242" w:type="dxa"/>
            <w:tcBorders>
              <w:top w:val="single" w:sz="2" w:space="0" w:color="auto"/>
              <w:left w:val="single" w:sz="2" w:space="0" w:color="auto"/>
              <w:bottom w:val="single" w:sz="2" w:space="0" w:color="auto"/>
              <w:right w:val="nil"/>
            </w:tcBorders>
          </w:tcPr>
          <w:p w14:paraId="7013C6A9" w14:textId="77777777" w:rsidR="009C5AEA" w:rsidRDefault="00F52356" w:rsidP="00DE78B3">
            <w:r>
              <w:t>Étape 2</w:t>
            </w:r>
          </w:p>
        </w:tc>
        <w:tc>
          <w:tcPr>
            <w:tcW w:w="3686" w:type="dxa"/>
            <w:tcBorders>
              <w:top w:val="single" w:sz="2" w:space="0" w:color="auto"/>
              <w:left w:val="nil"/>
              <w:bottom w:val="single" w:sz="2" w:space="0" w:color="auto"/>
              <w:right w:val="nil"/>
            </w:tcBorders>
          </w:tcPr>
          <w:p w14:paraId="41B92B58" w14:textId="2F6718B4" w:rsidR="009C5AEA" w:rsidRDefault="00747A61" w:rsidP="00DE78B3">
            <w:pPr>
              <w:jc w:val="center"/>
            </w:pPr>
            <w:r>
              <w:rPr>
                <w:noProof/>
                <w:lang w:eastAsia="fr-FR"/>
              </w:rPr>
              <w:drawing>
                <wp:inline distT="0" distB="0" distL="0" distR="0" wp14:anchorId="7FFEBAAC" wp14:editId="5AF62144">
                  <wp:extent cx="2006600" cy="1435100"/>
                  <wp:effectExtent l="0" t="0" r="0" b="1270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6600" cy="1435100"/>
                          </a:xfrm>
                          <a:prstGeom prst="rect">
                            <a:avLst/>
                          </a:prstGeom>
                          <a:noFill/>
                          <a:ln>
                            <a:noFill/>
                          </a:ln>
                        </pic:spPr>
                      </pic:pic>
                    </a:graphicData>
                  </a:graphic>
                </wp:inline>
              </w:drawing>
            </w:r>
          </w:p>
        </w:tc>
        <w:tc>
          <w:tcPr>
            <w:tcW w:w="4394" w:type="dxa"/>
            <w:gridSpan w:val="2"/>
            <w:tcBorders>
              <w:top w:val="single" w:sz="2" w:space="0" w:color="auto"/>
              <w:left w:val="nil"/>
              <w:bottom w:val="single" w:sz="2" w:space="0" w:color="auto"/>
              <w:right w:val="single" w:sz="2" w:space="0" w:color="auto"/>
            </w:tcBorders>
          </w:tcPr>
          <w:p w14:paraId="77C0A2CF" w14:textId="77777777" w:rsidR="009C5AEA" w:rsidRDefault="00F52356" w:rsidP="00DE78B3">
            <w:r>
              <w:t>Sortez le vaccin du réfrigérateur.</w:t>
            </w:r>
          </w:p>
          <w:p w14:paraId="3432E938" w14:textId="77777777" w:rsidR="009C5AEA" w:rsidRDefault="009C5AEA" w:rsidP="00DE78B3"/>
        </w:tc>
      </w:tr>
      <w:tr w:rsidR="009C5AEA" w14:paraId="47E142C0" w14:textId="77777777">
        <w:trPr>
          <w:gridAfter w:val="1"/>
          <w:wAfter w:w="19" w:type="dxa"/>
          <w:cantSplit/>
        </w:trPr>
        <w:tc>
          <w:tcPr>
            <w:tcW w:w="1242" w:type="dxa"/>
            <w:tcBorders>
              <w:top w:val="single" w:sz="2" w:space="0" w:color="auto"/>
              <w:left w:val="single" w:sz="2" w:space="0" w:color="auto"/>
              <w:bottom w:val="single" w:sz="2" w:space="0" w:color="auto"/>
              <w:right w:val="nil"/>
            </w:tcBorders>
          </w:tcPr>
          <w:p w14:paraId="7F9BEF29" w14:textId="77777777" w:rsidR="009C5AEA" w:rsidRDefault="00F52356" w:rsidP="00DE78B3">
            <w:r>
              <w:lastRenderedPageBreak/>
              <w:t>Étape 3</w:t>
            </w:r>
          </w:p>
        </w:tc>
        <w:tc>
          <w:tcPr>
            <w:tcW w:w="3686" w:type="dxa"/>
            <w:tcBorders>
              <w:top w:val="single" w:sz="2" w:space="0" w:color="auto"/>
              <w:left w:val="nil"/>
              <w:bottom w:val="single" w:sz="2" w:space="0" w:color="auto"/>
              <w:right w:val="nil"/>
            </w:tcBorders>
          </w:tcPr>
          <w:p w14:paraId="1C32EEF5" w14:textId="6D1DDD67" w:rsidR="009C5AEA" w:rsidRDefault="00747A61" w:rsidP="00DE78B3">
            <w:pPr>
              <w:jc w:val="center"/>
            </w:pPr>
            <w:r>
              <w:rPr>
                <w:noProof/>
                <w:lang w:eastAsia="fr-FR"/>
              </w:rPr>
              <w:drawing>
                <wp:inline distT="0" distB="0" distL="0" distR="0" wp14:anchorId="0D894000" wp14:editId="3A0501AB">
                  <wp:extent cx="1409700" cy="1104900"/>
                  <wp:effectExtent l="0" t="0" r="12700" b="0"/>
                  <wp:docPr id="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2">
                            <a:extLst>
                              <a:ext uri="{28A0092B-C50C-407E-A947-70E740481C1C}">
                                <a14:useLocalDpi xmlns:a14="http://schemas.microsoft.com/office/drawing/2010/main" val="0"/>
                              </a:ext>
                            </a:extLst>
                          </a:blip>
                          <a:srcRect l="-1649" t="-53728" r="-1215" b="-54167"/>
                          <a:stretch>
                            <a:fillRect/>
                          </a:stretch>
                        </pic:blipFill>
                        <pic:spPr bwMode="auto">
                          <a:xfrm>
                            <a:off x="0" y="0"/>
                            <a:ext cx="1409700" cy="11049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6905F89B" w14:textId="55BD39DE" w:rsidR="009C5AEA" w:rsidRDefault="00F52356" w:rsidP="00DE78B3">
            <w:r>
              <w:t>Repérez les deux sachets, identifiés de la façon suivante : sachet</w:t>
            </w:r>
            <w:r w:rsidR="000B05E3">
              <w:t> </w:t>
            </w:r>
            <w:r>
              <w:t>1 et sachet</w:t>
            </w:r>
            <w:r w:rsidR="000B05E3">
              <w:t> </w:t>
            </w:r>
            <w:r>
              <w:t>2.</w:t>
            </w:r>
          </w:p>
          <w:p w14:paraId="251F36B7" w14:textId="77777777" w:rsidR="009C5AEA" w:rsidRDefault="009C5AEA" w:rsidP="00DE78B3"/>
          <w:p w14:paraId="30229B31" w14:textId="224A86D4" w:rsidR="00604A2A" w:rsidRDefault="00F52356" w:rsidP="00DE78B3">
            <w:r>
              <w:t>Le sachet</w:t>
            </w:r>
            <w:r w:rsidR="000B05E3">
              <w:t> </w:t>
            </w:r>
            <w:r>
              <w:t xml:space="preserve">1 contient </w:t>
            </w:r>
            <w:r w:rsidR="00DD7D8C">
              <w:t xml:space="preserve">la </w:t>
            </w:r>
            <w:r w:rsidR="00B736F9">
              <w:t>« </w:t>
            </w:r>
            <w:r w:rsidR="00DD7D8C">
              <w:t>solution tampon de Vaxchora</w:t>
            </w:r>
            <w:r w:rsidR="00B736F9">
              <w:t> »</w:t>
            </w:r>
            <w:r>
              <w:t>. Il est noir et blanc.</w:t>
            </w:r>
          </w:p>
          <w:p w14:paraId="3982CD3E" w14:textId="4211EC51" w:rsidR="009C5AEA" w:rsidRDefault="00F52356" w:rsidP="00DE78B3">
            <w:r>
              <w:t>Le sachet</w:t>
            </w:r>
            <w:r w:rsidR="000B05E3">
              <w:t> </w:t>
            </w:r>
            <w:r>
              <w:t>2 contient l</w:t>
            </w:r>
            <w:r w:rsidR="002116F7">
              <w:t>e</w:t>
            </w:r>
            <w:r>
              <w:t xml:space="preserve"> </w:t>
            </w:r>
            <w:r w:rsidR="00363230">
              <w:t>« </w:t>
            </w:r>
            <w:r w:rsidR="002116F7">
              <w:t>principe actif</w:t>
            </w:r>
            <w:r>
              <w:t xml:space="preserve"> de Vaxchora ». Il est bleu et blanc.</w:t>
            </w:r>
          </w:p>
          <w:p w14:paraId="6A08974B" w14:textId="77777777" w:rsidR="009C5AEA" w:rsidRDefault="009C5AEA" w:rsidP="00DE78B3"/>
          <w:p w14:paraId="66A0F4EE" w14:textId="77777777" w:rsidR="009C5AEA" w:rsidRDefault="00F52356" w:rsidP="00DE78B3">
            <w:r>
              <w:t>Si un sachet n’est pas intact, n’utilisez aucun des deux sachets et contactez votre médecin, pharmacien ou infirmier/ère afin d’obtenir une dose de remplacement. L’utilisation d’un sachet détérioré peut altérer l’efficacité du vaccin.</w:t>
            </w:r>
          </w:p>
        </w:tc>
      </w:tr>
      <w:tr w:rsidR="009C5AEA" w14:paraId="252C7E5E" w14:textId="77777777">
        <w:trPr>
          <w:gridAfter w:val="1"/>
          <w:wAfter w:w="19" w:type="dxa"/>
          <w:cantSplit/>
        </w:trPr>
        <w:tc>
          <w:tcPr>
            <w:tcW w:w="1242" w:type="dxa"/>
            <w:tcBorders>
              <w:top w:val="single" w:sz="2" w:space="0" w:color="auto"/>
              <w:left w:val="single" w:sz="2" w:space="0" w:color="auto"/>
              <w:bottom w:val="single" w:sz="2" w:space="0" w:color="auto"/>
              <w:right w:val="nil"/>
            </w:tcBorders>
          </w:tcPr>
          <w:p w14:paraId="27CA95FF" w14:textId="77777777" w:rsidR="009C5AEA" w:rsidRDefault="00F52356" w:rsidP="00DE78B3">
            <w:r>
              <w:t>Étape 4</w:t>
            </w:r>
          </w:p>
        </w:tc>
        <w:tc>
          <w:tcPr>
            <w:tcW w:w="3686" w:type="dxa"/>
            <w:tcBorders>
              <w:top w:val="single" w:sz="2" w:space="0" w:color="auto"/>
              <w:left w:val="nil"/>
              <w:bottom w:val="single" w:sz="2" w:space="0" w:color="auto"/>
              <w:right w:val="nil"/>
            </w:tcBorders>
          </w:tcPr>
          <w:p w14:paraId="21E90DBD" w14:textId="4063FAF1" w:rsidR="009C5AEA" w:rsidRDefault="00747A61" w:rsidP="00DE78B3">
            <w:pPr>
              <w:jc w:val="center"/>
            </w:pPr>
            <w:r>
              <w:rPr>
                <w:noProof/>
                <w:lang w:eastAsia="fr-FR"/>
              </w:rPr>
              <w:drawing>
                <wp:inline distT="0" distB="0" distL="0" distR="0" wp14:anchorId="051F0BBB" wp14:editId="1B59000F">
                  <wp:extent cx="1905000" cy="1498600"/>
                  <wp:effectExtent l="0" t="0" r="0" b="0"/>
                  <wp:docPr id="5" name="Picture 5" descr="Screen Shot 2019-08-05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 Shot 2019-08-05 at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4986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04C0C4AF" w14:textId="44A3A676" w:rsidR="009C5AEA" w:rsidRDefault="00F52356" w:rsidP="00DE78B3">
            <w:r>
              <w:t>Mesurez 100 </w:t>
            </w:r>
            <w:proofErr w:type="spellStart"/>
            <w:r>
              <w:t>mL</w:t>
            </w:r>
            <w:proofErr w:type="spellEnd"/>
            <w:r>
              <w:t xml:space="preserve"> d’eau </w:t>
            </w:r>
            <w:r w:rsidR="00335E01">
              <w:t>plate</w:t>
            </w:r>
            <w:r w:rsidR="00020452">
              <w:t xml:space="preserve"> </w:t>
            </w:r>
            <w:r w:rsidR="00DE6A2D">
              <w:t>ou gazeuse</w:t>
            </w:r>
            <w:r>
              <w:t xml:space="preserve"> en </w:t>
            </w:r>
            <w:r>
              <w:rPr>
                <w:rStyle w:val="Strong"/>
              </w:rPr>
              <w:t>bouteille</w:t>
            </w:r>
            <w:r>
              <w:t xml:space="preserve">, froide ou à température ambiante, et versez-la dans un </w:t>
            </w:r>
            <w:r w:rsidR="00912F02">
              <w:t>verre</w:t>
            </w:r>
            <w:r>
              <w:t xml:space="preserve"> propre.</w:t>
            </w:r>
          </w:p>
          <w:p w14:paraId="724629D0" w14:textId="77777777" w:rsidR="009C5AEA" w:rsidRDefault="009C5AEA" w:rsidP="00DE78B3"/>
          <w:p w14:paraId="08BF1244" w14:textId="77777777" w:rsidR="009C5AEA" w:rsidRDefault="00F52356" w:rsidP="00DE78B3">
            <w:r>
              <w:t>Il est nécessaire d’utiliser de l’eau en bouteille pour que le vaccin soit efficace ; l’utilisation d’eau non embouteillée (par exemple l’eau du robinet) peut rendre le vaccin inefficace.</w:t>
            </w:r>
          </w:p>
        </w:tc>
      </w:tr>
      <w:tr w:rsidR="009C5AEA" w14:paraId="26174C1A" w14:textId="77777777">
        <w:trPr>
          <w:gridAfter w:val="1"/>
          <w:wAfter w:w="19" w:type="dxa"/>
          <w:cantSplit/>
        </w:trPr>
        <w:tc>
          <w:tcPr>
            <w:tcW w:w="1242" w:type="dxa"/>
            <w:tcBorders>
              <w:top w:val="single" w:sz="2" w:space="0" w:color="auto"/>
              <w:left w:val="single" w:sz="2" w:space="0" w:color="auto"/>
              <w:bottom w:val="single" w:sz="2" w:space="0" w:color="auto"/>
              <w:right w:val="nil"/>
            </w:tcBorders>
          </w:tcPr>
          <w:p w14:paraId="36F89073" w14:textId="77777777" w:rsidR="009C5AEA" w:rsidRDefault="00F52356" w:rsidP="00DE78B3">
            <w:r>
              <w:t>Étape 5</w:t>
            </w:r>
          </w:p>
        </w:tc>
        <w:tc>
          <w:tcPr>
            <w:tcW w:w="3686" w:type="dxa"/>
            <w:tcBorders>
              <w:top w:val="single" w:sz="2" w:space="0" w:color="auto"/>
              <w:left w:val="nil"/>
              <w:bottom w:val="single" w:sz="2" w:space="0" w:color="auto"/>
              <w:right w:val="nil"/>
            </w:tcBorders>
          </w:tcPr>
          <w:p w14:paraId="78CA5D5F" w14:textId="39A8A1B9" w:rsidR="009C5AEA" w:rsidRDefault="00747A61" w:rsidP="00DE78B3">
            <w:pPr>
              <w:jc w:val="center"/>
            </w:pPr>
            <w:r>
              <w:rPr>
                <w:noProof/>
                <w:lang w:eastAsia="fr-FR"/>
              </w:rPr>
              <w:drawing>
                <wp:inline distT="0" distB="0" distL="0" distR="0" wp14:anchorId="5EBE8111" wp14:editId="61B00B26">
                  <wp:extent cx="1257300" cy="1016000"/>
                  <wp:effectExtent l="0" t="0" r="12700" b="0"/>
                  <wp:docPr id="6"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pic:cNvPicPr>
                            <a:picLocks noChangeAspect="1" noChangeArrowheads="1"/>
                          </pic:cNvPicPr>
                        </pic:nvPicPr>
                        <pic:blipFill>
                          <a:blip r:embed="rId14">
                            <a:extLst>
                              <a:ext uri="{28A0092B-C50C-407E-A947-70E740481C1C}">
                                <a14:useLocalDpi xmlns:a14="http://schemas.microsoft.com/office/drawing/2010/main" val="0"/>
                              </a:ext>
                            </a:extLst>
                          </a:blip>
                          <a:srcRect l="-2525" t="-59645" r="-1631" b="-41371"/>
                          <a:stretch>
                            <a:fillRect/>
                          </a:stretch>
                        </pic:blipFill>
                        <pic:spPr bwMode="auto">
                          <a:xfrm>
                            <a:off x="0" y="0"/>
                            <a:ext cx="1257300" cy="10160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066CFE4D" w14:textId="5535CED6" w:rsidR="009C5AEA" w:rsidRDefault="00F52356" w:rsidP="00DE78B3">
            <w:r>
              <w:t>Avec des ciseaux, découpez la partie supérieure du sachet</w:t>
            </w:r>
            <w:r w:rsidR="000B05E3">
              <w:t> </w:t>
            </w:r>
            <w:r>
              <w:t>1.</w:t>
            </w:r>
          </w:p>
          <w:p w14:paraId="1E647BF5" w14:textId="77777777" w:rsidR="009C5AEA" w:rsidRDefault="009C5AEA" w:rsidP="00DE78B3"/>
          <w:p w14:paraId="0FF43163" w14:textId="77777777" w:rsidR="009C5AEA" w:rsidRDefault="00F52356" w:rsidP="00DE78B3">
            <w:r>
              <w:t xml:space="preserve">Ne mettez pas les doigts dans le sachet. Afin de réduire le risque de contamination, en cas de contact avec le contenu du sachet, </w:t>
            </w:r>
            <w:proofErr w:type="spellStart"/>
            <w:r>
              <w:t>lavez</w:t>
            </w:r>
            <w:proofErr w:type="spellEnd"/>
            <w:r>
              <w:t>-vous les mains.</w:t>
            </w:r>
          </w:p>
        </w:tc>
      </w:tr>
      <w:tr w:rsidR="009C5AEA" w14:paraId="29153F08" w14:textId="77777777">
        <w:trPr>
          <w:gridAfter w:val="1"/>
          <w:wAfter w:w="19" w:type="dxa"/>
          <w:cantSplit/>
          <w:trHeight w:val="2237"/>
        </w:trPr>
        <w:tc>
          <w:tcPr>
            <w:tcW w:w="1242" w:type="dxa"/>
            <w:tcBorders>
              <w:top w:val="single" w:sz="2" w:space="0" w:color="auto"/>
              <w:left w:val="single" w:sz="2" w:space="0" w:color="auto"/>
              <w:bottom w:val="single" w:sz="2" w:space="0" w:color="auto"/>
              <w:right w:val="nil"/>
            </w:tcBorders>
          </w:tcPr>
          <w:p w14:paraId="66CF5091" w14:textId="77777777" w:rsidR="009C5AEA" w:rsidRDefault="00F52356" w:rsidP="00DE78B3">
            <w:r>
              <w:t>Étape 6</w:t>
            </w:r>
          </w:p>
        </w:tc>
        <w:tc>
          <w:tcPr>
            <w:tcW w:w="3686" w:type="dxa"/>
            <w:tcBorders>
              <w:top w:val="single" w:sz="2" w:space="0" w:color="auto"/>
              <w:left w:val="nil"/>
              <w:bottom w:val="single" w:sz="2" w:space="0" w:color="auto"/>
              <w:right w:val="nil"/>
            </w:tcBorders>
          </w:tcPr>
          <w:p w14:paraId="3A52C3B0" w14:textId="250226B1" w:rsidR="009C5AEA" w:rsidRDefault="00747A61" w:rsidP="00DE78B3">
            <w:pPr>
              <w:jc w:val="center"/>
            </w:pPr>
            <w:r>
              <w:rPr>
                <w:noProof/>
                <w:lang w:eastAsia="fr-FR"/>
              </w:rPr>
              <w:drawing>
                <wp:inline distT="0" distB="0" distL="0" distR="0" wp14:anchorId="22C7F9C0" wp14:editId="7DD66589">
                  <wp:extent cx="990600" cy="1231900"/>
                  <wp:effectExtent l="0" t="0" r="0" b="12700"/>
                  <wp:docPr id="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a:picLocks noChangeAspect="1" noChangeArrowheads="1"/>
                          </pic:cNvPicPr>
                        </pic:nvPicPr>
                        <pic:blipFill>
                          <a:blip r:embed="rId15">
                            <a:extLst>
                              <a:ext uri="{28A0092B-C50C-407E-A947-70E740481C1C}">
                                <a14:useLocalDpi xmlns:a14="http://schemas.microsoft.com/office/drawing/2010/main" val="0"/>
                              </a:ext>
                            </a:extLst>
                          </a:blip>
                          <a:srcRect l="-29828" r="-35944" b="-574"/>
                          <a:stretch>
                            <a:fillRect/>
                          </a:stretch>
                        </pic:blipFill>
                        <pic:spPr bwMode="auto">
                          <a:xfrm>
                            <a:off x="0" y="0"/>
                            <a:ext cx="990600" cy="12319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1429F7D4" w14:textId="4BD315CC" w:rsidR="009C5AEA" w:rsidRDefault="00F52356" w:rsidP="00DE78B3">
            <w:r>
              <w:t>Videz le contenu du sachet</w:t>
            </w:r>
            <w:r w:rsidR="000B05E3">
              <w:t> </w:t>
            </w:r>
            <w:r>
              <w:t xml:space="preserve">1 dans le </w:t>
            </w:r>
            <w:r w:rsidR="00912F02">
              <w:t>verre</w:t>
            </w:r>
            <w:r>
              <w:t xml:space="preserve">. Le mélange obtenu devient </w:t>
            </w:r>
            <w:r w:rsidR="00BC0497">
              <w:t>effervescent</w:t>
            </w:r>
            <w:r>
              <w:t>.</w:t>
            </w:r>
          </w:p>
        </w:tc>
      </w:tr>
      <w:tr w:rsidR="009C5AEA" w14:paraId="2DDC998B" w14:textId="77777777">
        <w:trPr>
          <w:gridAfter w:val="1"/>
          <w:wAfter w:w="19" w:type="dxa"/>
          <w:cantSplit/>
        </w:trPr>
        <w:tc>
          <w:tcPr>
            <w:tcW w:w="1242" w:type="dxa"/>
            <w:tcBorders>
              <w:top w:val="single" w:sz="2" w:space="0" w:color="auto"/>
              <w:left w:val="single" w:sz="2" w:space="0" w:color="auto"/>
              <w:bottom w:val="single" w:sz="2" w:space="0" w:color="auto"/>
              <w:right w:val="nil"/>
            </w:tcBorders>
          </w:tcPr>
          <w:p w14:paraId="2F1FE688" w14:textId="77777777" w:rsidR="009C5AEA" w:rsidRDefault="00F52356" w:rsidP="00DE78B3">
            <w:r>
              <w:t>Étape 7</w:t>
            </w:r>
          </w:p>
        </w:tc>
        <w:tc>
          <w:tcPr>
            <w:tcW w:w="3686" w:type="dxa"/>
            <w:tcBorders>
              <w:top w:val="single" w:sz="2" w:space="0" w:color="auto"/>
              <w:left w:val="nil"/>
              <w:bottom w:val="single" w:sz="2" w:space="0" w:color="auto"/>
              <w:right w:val="nil"/>
            </w:tcBorders>
            <w:tcMar>
              <w:top w:w="28" w:type="dxa"/>
            </w:tcMar>
          </w:tcPr>
          <w:p w14:paraId="75DBB3F6" w14:textId="6D7A05E6" w:rsidR="009C5AEA" w:rsidRDefault="00747A61" w:rsidP="00DE78B3">
            <w:pPr>
              <w:jc w:val="center"/>
            </w:pPr>
            <w:r>
              <w:rPr>
                <w:noProof/>
                <w:lang w:eastAsia="fr-FR"/>
              </w:rPr>
              <w:drawing>
                <wp:inline distT="0" distB="0" distL="0" distR="0" wp14:anchorId="4D61FD29" wp14:editId="7F1BEDAD">
                  <wp:extent cx="990600" cy="1333500"/>
                  <wp:effectExtent l="0" t="0" r="0" b="1270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13335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0893EC4A" w14:textId="77777777" w:rsidR="009C5AEA" w:rsidRDefault="00F52356" w:rsidP="00DE78B3">
            <w:r>
              <w:t>Remuez jusqu’à ce que la poudre se dissolve complètement.</w:t>
            </w:r>
          </w:p>
        </w:tc>
      </w:tr>
      <w:tr w:rsidR="00DB32B4" w14:paraId="5D702864" w14:textId="77777777">
        <w:trPr>
          <w:gridAfter w:val="1"/>
          <w:wAfter w:w="19" w:type="dxa"/>
          <w:cantSplit/>
        </w:trPr>
        <w:tc>
          <w:tcPr>
            <w:tcW w:w="1242" w:type="dxa"/>
            <w:tcBorders>
              <w:top w:val="single" w:sz="2" w:space="0" w:color="auto"/>
              <w:left w:val="single" w:sz="2" w:space="0" w:color="auto"/>
              <w:bottom w:val="single" w:sz="2" w:space="0" w:color="auto"/>
              <w:right w:val="nil"/>
            </w:tcBorders>
          </w:tcPr>
          <w:p w14:paraId="02FB27FE" w14:textId="77777777" w:rsidR="00DB32B4" w:rsidRDefault="00DB32B4" w:rsidP="00DE78B3">
            <w:r>
              <w:lastRenderedPageBreak/>
              <w:t>Étape </w:t>
            </w:r>
            <w:r w:rsidRPr="00915112">
              <w:rPr>
                <w:noProof/>
              </w:rPr>
              <w:t>8</w:t>
            </w:r>
          </w:p>
        </w:tc>
        <w:tc>
          <w:tcPr>
            <w:tcW w:w="3686" w:type="dxa"/>
            <w:tcBorders>
              <w:top w:val="single" w:sz="2" w:space="0" w:color="auto"/>
              <w:left w:val="nil"/>
              <w:bottom w:val="single" w:sz="2" w:space="0" w:color="auto"/>
              <w:right w:val="nil"/>
            </w:tcBorders>
          </w:tcPr>
          <w:p w14:paraId="7839DB1D" w14:textId="17F34684" w:rsidR="00DB32B4" w:rsidRDefault="00747A61" w:rsidP="00DE78B3">
            <w:pPr>
              <w:jc w:val="center"/>
              <w:rPr>
                <w:noProof/>
                <w:lang w:eastAsia="fr-FR"/>
              </w:rPr>
            </w:pPr>
            <w:r>
              <w:rPr>
                <w:noProof/>
                <w:szCs w:val="20"/>
                <w:lang w:eastAsia="fr-FR"/>
              </w:rPr>
              <mc:AlternateContent>
                <mc:Choice Requires="wps">
                  <w:drawing>
                    <wp:anchor distT="0" distB="0" distL="114300" distR="114300" simplePos="0" relativeHeight="251657728" behindDoc="0" locked="0" layoutInCell="1" allowOverlap="1" wp14:anchorId="6E2537F3" wp14:editId="7D393D58">
                      <wp:simplePos x="0" y="0"/>
                      <wp:positionH relativeFrom="column">
                        <wp:posOffset>850265</wp:posOffset>
                      </wp:positionH>
                      <wp:positionV relativeFrom="paragraph">
                        <wp:posOffset>1246505</wp:posOffset>
                      </wp:positionV>
                      <wp:extent cx="575945" cy="127635"/>
                      <wp:effectExtent l="0" t="1905"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2763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A87870" w14:textId="33487DB2" w:rsidR="007B45F5" w:rsidRPr="00DF3329" w:rsidRDefault="007B45F5" w:rsidP="00FB6CCB">
                                  <w:pPr>
                                    <w:jc w:val="right"/>
                                    <w:rPr>
                                      <w:rFonts w:ascii="Arial" w:hAnsi="Arial" w:cs="Arial"/>
                                      <w:sz w:val="12"/>
                                      <w:szCs w:val="12"/>
                                    </w:rPr>
                                  </w:pPr>
                                  <w:r w:rsidRPr="00DF3329">
                                    <w:rPr>
                                      <w:rFonts w:ascii="Arial" w:hAnsi="Arial" w:cs="Arial"/>
                                      <w:sz w:val="12"/>
                                      <w:szCs w:val="12"/>
                                    </w:rPr>
                                    <w:sym w:font="Symbol" w:char="F0BB"/>
                                  </w:r>
                                  <w:r w:rsidRPr="00DF3329">
                                    <w:rPr>
                                      <w:rFonts w:ascii="Arial" w:hAnsi="Arial" w:cs="Arial"/>
                                      <w:sz w:val="12"/>
                                      <w:szCs w:val="12"/>
                                    </w:rPr>
                                    <w:t xml:space="preserve"> 50</w:t>
                                  </w:r>
                                  <w:r>
                                    <w:rPr>
                                      <w:rFonts w:ascii="Arial" w:hAnsi="Arial" w:cs="Arial"/>
                                      <w:sz w:val="12"/>
                                      <w:szCs w:val="12"/>
                                    </w:rPr>
                                    <w:t> </w:t>
                                  </w:r>
                                  <w:proofErr w:type="spellStart"/>
                                  <w:r w:rsidRPr="00DF3329">
                                    <w:rPr>
                                      <w:rFonts w:ascii="Arial" w:hAnsi="Arial" w:cs="Arial"/>
                                      <w:sz w:val="12"/>
                                      <w:szCs w:val="12"/>
                                    </w:rPr>
                                    <w:t>mL</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537F3" id="_x0000_s1028" type="#_x0000_t202" style="position:absolute;left:0;text-align:left;margin-left:66.95pt;margin-top:98.15pt;width:45.35pt;height:1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" stroked="f">
                      <v:textbox inset="0,0,0,0">
                        <w:txbxContent>
                          <w:p w14:paraId="3EA87870" w14:textId="33487DB2" w:rsidR="007B45F5" w:rsidRPr="00DF3329" w:rsidRDefault="007B45F5" w:rsidP="00FB6CCB">
                            <w:pPr>
                              <w:jc w:val="right"/>
                              <w:rPr>
                                <w:rFonts w:ascii="Arial" w:hAnsi="Arial" w:cs="Arial"/>
                                <w:sz w:val="12"/>
                                <w:szCs w:val="12"/>
                              </w:rPr>
                            </w:pPr>
                            <w:r w:rsidRPr="00DF3329">
                              <w:rPr>
                                <w:rFonts w:ascii="Arial" w:hAnsi="Arial" w:cs="Arial"/>
                                <w:sz w:val="12"/>
                                <w:szCs w:val="12"/>
                              </w:rPr>
                              <w:sym w:font="Symbol" w:char="F0BB"/>
                            </w:r>
                            <w:r w:rsidRPr="00DF3329">
                              <w:rPr>
                                <w:rFonts w:ascii="Arial" w:hAnsi="Arial" w:cs="Arial"/>
                                <w:sz w:val="12"/>
                                <w:szCs w:val="12"/>
                              </w:rPr>
                              <w:t xml:space="preserve"> 50</w:t>
                            </w:r>
                            <w:r>
                              <w:rPr>
                                <w:rFonts w:ascii="Arial" w:hAnsi="Arial" w:cs="Arial"/>
                                <w:sz w:val="12"/>
                                <w:szCs w:val="12"/>
                              </w:rPr>
                              <w:t> </w:t>
                            </w:r>
                            <w:proofErr w:type="spellStart"/>
                            <w:r w:rsidRPr="00DF3329">
                              <w:rPr>
                                <w:rFonts w:ascii="Arial" w:hAnsi="Arial" w:cs="Arial"/>
                                <w:sz w:val="12"/>
                                <w:szCs w:val="12"/>
                              </w:rPr>
                              <w:t>mL</w:t>
                            </w:r>
                            <w:proofErr w:type="spellEnd"/>
                          </w:p>
                        </w:txbxContent>
                      </v:textbox>
                    </v:shape>
                  </w:pict>
                </mc:Fallback>
              </mc:AlternateContent>
            </w:r>
            <w:r>
              <w:rPr>
                <w:noProof/>
                <w:lang w:eastAsia="fr-FR"/>
              </w:rPr>
              <w:drawing>
                <wp:inline distT="0" distB="0" distL="0" distR="0" wp14:anchorId="04A569FD" wp14:editId="125A8297">
                  <wp:extent cx="1422400" cy="1371600"/>
                  <wp:effectExtent l="0" t="0" r="0" b="0"/>
                  <wp:docPr id="9" name="Image 9" descr="Step 8 crop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p 8 crop tif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2400" cy="13716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5E97EF4E" w14:textId="50F351CE" w:rsidR="00DB32B4" w:rsidRPr="00915112" w:rsidRDefault="00604A2A" w:rsidP="00DE78B3">
            <w:pPr>
              <w:numPr>
                <w:ilvl w:val="12"/>
                <w:numId w:val="0"/>
              </w:numPr>
              <w:ind w:right="-2"/>
              <w:rPr>
                <w:b/>
                <w:bCs/>
                <w:i/>
                <w:iCs/>
                <w:noProof/>
              </w:rPr>
            </w:pPr>
            <w:r>
              <w:rPr>
                <w:b/>
                <w:bCs/>
                <w:i/>
                <w:iCs/>
                <w:noProof/>
              </w:rPr>
              <w:t>Uniquement p</w:t>
            </w:r>
            <w:r w:rsidR="00DB32B4">
              <w:rPr>
                <w:b/>
                <w:bCs/>
                <w:i/>
                <w:iCs/>
                <w:noProof/>
              </w:rPr>
              <w:t>our les enfants âgés de 2</w:t>
            </w:r>
            <w:r w:rsidR="008B21C0">
              <w:rPr>
                <w:b/>
                <w:bCs/>
                <w:i/>
                <w:iCs/>
                <w:noProof/>
              </w:rPr>
              <w:t> </w:t>
            </w:r>
            <w:r>
              <w:rPr>
                <w:b/>
                <w:bCs/>
                <w:i/>
                <w:iCs/>
                <w:noProof/>
              </w:rPr>
              <w:t>ans</w:t>
            </w:r>
            <w:r w:rsidR="00DB32B4">
              <w:rPr>
                <w:b/>
                <w:bCs/>
                <w:i/>
                <w:iCs/>
                <w:noProof/>
              </w:rPr>
              <w:t xml:space="preserve"> à moins de 6 </w:t>
            </w:r>
            <w:r w:rsidR="00DB32B4" w:rsidRPr="00DB32B4">
              <w:rPr>
                <w:b/>
                <w:bCs/>
                <w:i/>
                <w:iCs/>
                <w:noProof/>
              </w:rPr>
              <w:t>ans</w:t>
            </w:r>
            <w:r w:rsidR="00DB32B4">
              <w:rPr>
                <w:b/>
                <w:bCs/>
                <w:i/>
                <w:iCs/>
                <w:noProof/>
              </w:rPr>
              <w:t> </w:t>
            </w:r>
            <w:r w:rsidR="00DB32B4" w:rsidRPr="00915112">
              <w:rPr>
                <w:b/>
                <w:bCs/>
                <w:i/>
                <w:iCs/>
                <w:noProof/>
              </w:rPr>
              <w:t>:</w:t>
            </w:r>
          </w:p>
          <w:p w14:paraId="05C4795A" w14:textId="25BF1FD6" w:rsidR="00DB32B4" w:rsidRDefault="00DB32B4" w:rsidP="00DE78B3">
            <w:r w:rsidRPr="00DB32B4">
              <w:rPr>
                <w:noProof/>
              </w:rPr>
              <w:t xml:space="preserve">Versez et jetez la moitié de la solution </w:t>
            </w:r>
            <w:r w:rsidR="00BC0497">
              <w:rPr>
                <w:noProof/>
              </w:rPr>
              <w:t>préparée</w:t>
            </w:r>
            <w:r w:rsidR="00604A2A">
              <w:rPr>
                <w:noProof/>
              </w:rPr>
              <w:t xml:space="preserve"> à l’étape</w:t>
            </w:r>
            <w:r w:rsidR="008B21C0">
              <w:rPr>
                <w:noProof/>
              </w:rPr>
              <w:t> </w:t>
            </w:r>
            <w:r w:rsidR="00604A2A">
              <w:rPr>
                <w:noProof/>
              </w:rPr>
              <w:t>6</w:t>
            </w:r>
            <w:r w:rsidRPr="00DB32B4">
              <w:rPr>
                <w:noProof/>
              </w:rPr>
              <w:t>. (</w:t>
            </w:r>
            <w:r>
              <w:rPr>
                <w:noProof/>
              </w:rPr>
              <w:t>Remarque </w:t>
            </w:r>
            <w:r w:rsidRPr="00DB32B4">
              <w:rPr>
                <w:noProof/>
              </w:rPr>
              <w:t>: pour les enfants</w:t>
            </w:r>
            <w:r>
              <w:rPr>
                <w:noProof/>
              </w:rPr>
              <w:t xml:space="preserve"> âgés de plus de 6 </w:t>
            </w:r>
            <w:r w:rsidRPr="00DB32B4">
              <w:rPr>
                <w:noProof/>
              </w:rPr>
              <w:t>an</w:t>
            </w:r>
            <w:r>
              <w:rPr>
                <w:noProof/>
              </w:rPr>
              <w:t>s et les adultes, cette étape n’</w:t>
            </w:r>
            <w:r w:rsidRPr="00DB32B4">
              <w:rPr>
                <w:noProof/>
              </w:rPr>
              <w:t>est PAS nécessaire)</w:t>
            </w:r>
          </w:p>
        </w:tc>
      </w:tr>
      <w:tr w:rsidR="00DB32B4" w14:paraId="7652B02F" w14:textId="77777777">
        <w:trPr>
          <w:gridAfter w:val="1"/>
          <w:wAfter w:w="19" w:type="dxa"/>
          <w:cantSplit/>
        </w:trPr>
        <w:tc>
          <w:tcPr>
            <w:tcW w:w="1242" w:type="dxa"/>
            <w:tcBorders>
              <w:top w:val="single" w:sz="2" w:space="0" w:color="auto"/>
              <w:left w:val="single" w:sz="2" w:space="0" w:color="auto"/>
              <w:bottom w:val="single" w:sz="2" w:space="0" w:color="auto"/>
              <w:right w:val="nil"/>
            </w:tcBorders>
          </w:tcPr>
          <w:p w14:paraId="32CA7519" w14:textId="4B77A763" w:rsidR="00DB32B4" w:rsidRDefault="00DB32B4" w:rsidP="00DE78B3">
            <w:r>
              <w:t>Étape 9</w:t>
            </w:r>
          </w:p>
        </w:tc>
        <w:tc>
          <w:tcPr>
            <w:tcW w:w="3686" w:type="dxa"/>
            <w:tcBorders>
              <w:top w:val="single" w:sz="2" w:space="0" w:color="auto"/>
              <w:left w:val="nil"/>
              <w:bottom w:val="single" w:sz="2" w:space="0" w:color="auto"/>
              <w:right w:val="nil"/>
            </w:tcBorders>
          </w:tcPr>
          <w:p w14:paraId="1BFB01B9" w14:textId="0E7A7494" w:rsidR="00DB32B4" w:rsidRDefault="00747A61" w:rsidP="00DE78B3">
            <w:pPr>
              <w:jc w:val="center"/>
            </w:pPr>
            <w:r>
              <w:rPr>
                <w:noProof/>
                <w:lang w:eastAsia="fr-FR"/>
              </w:rPr>
              <w:drawing>
                <wp:inline distT="0" distB="0" distL="0" distR="0" wp14:anchorId="7D9FEAE0" wp14:editId="29E3427D">
                  <wp:extent cx="1206500" cy="977900"/>
                  <wp:effectExtent l="0" t="0" r="0" b="0"/>
                  <wp:docPr id="10"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a:picLocks noChangeAspect="1" noChangeArrowheads="1"/>
                          </pic:cNvPicPr>
                        </pic:nvPicPr>
                        <pic:blipFill>
                          <a:blip r:embed="rId18">
                            <a:extLst>
                              <a:ext uri="{28A0092B-C50C-407E-A947-70E740481C1C}">
                                <a14:useLocalDpi xmlns:a14="http://schemas.microsoft.com/office/drawing/2010/main" val="0"/>
                              </a:ext>
                            </a:extLst>
                          </a:blip>
                          <a:srcRect l="-2094" t="-57677" r="-2039" b="-44193"/>
                          <a:stretch>
                            <a:fillRect/>
                          </a:stretch>
                        </pic:blipFill>
                        <pic:spPr bwMode="auto">
                          <a:xfrm>
                            <a:off x="0" y="0"/>
                            <a:ext cx="1206500" cy="9779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077DCE2F" w14:textId="30350CB7" w:rsidR="00DB32B4" w:rsidRDefault="00DB32B4" w:rsidP="00DE78B3">
            <w:r>
              <w:t>Avec des ciseaux, découpez la partie supérieure du sachet</w:t>
            </w:r>
            <w:r w:rsidR="000B05E3">
              <w:t> </w:t>
            </w:r>
            <w:r>
              <w:t>2.</w:t>
            </w:r>
          </w:p>
          <w:p w14:paraId="005B887E" w14:textId="77777777" w:rsidR="00DB32B4" w:rsidRDefault="00DB32B4" w:rsidP="00DE78B3"/>
          <w:p w14:paraId="528FEBB7" w14:textId="77777777" w:rsidR="00DB32B4" w:rsidRDefault="00DB32B4" w:rsidP="00DE78B3">
            <w:r>
              <w:t xml:space="preserve">Ne mettez pas les doigts dans le sachet. Afin de réduire le risque de contamination, en cas de contact avec le contenu du sachet, </w:t>
            </w:r>
            <w:proofErr w:type="spellStart"/>
            <w:r>
              <w:t>lavez</w:t>
            </w:r>
            <w:proofErr w:type="spellEnd"/>
            <w:r>
              <w:t>-vous les mains.</w:t>
            </w:r>
          </w:p>
        </w:tc>
      </w:tr>
      <w:tr w:rsidR="00DB32B4" w14:paraId="262DD1F9" w14:textId="77777777">
        <w:trPr>
          <w:gridAfter w:val="1"/>
          <w:wAfter w:w="19" w:type="dxa"/>
          <w:cantSplit/>
          <w:trHeight w:val="2463"/>
        </w:trPr>
        <w:tc>
          <w:tcPr>
            <w:tcW w:w="1242" w:type="dxa"/>
            <w:tcBorders>
              <w:top w:val="single" w:sz="2" w:space="0" w:color="auto"/>
              <w:left w:val="single" w:sz="2" w:space="0" w:color="auto"/>
              <w:bottom w:val="single" w:sz="2" w:space="0" w:color="auto"/>
              <w:right w:val="nil"/>
            </w:tcBorders>
          </w:tcPr>
          <w:p w14:paraId="5D3DE818" w14:textId="485D61C6" w:rsidR="00DB32B4" w:rsidRDefault="00DB32B4" w:rsidP="00DE78B3">
            <w:r>
              <w:t>Étape 10</w:t>
            </w:r>
          </w:p>
        </w:tc>
        <w:tc>
          <w:tcPr>
            <w:tcW w:w="3686" w:type="dxa"/>
            <w:tcBorders>
              <w:top w:val="single" w:sz="2" w:space="0" w:color="auto"/>
              <w:left w:val="nil"/>
              <w:bottom w:val="single" w:sz="2" w:space="0" w:color="auto"/>
              <w:right w:val="nil"/>
            </w:tcBorders>
          </w:tcPr>
          <w:p w14:paraId="2AFDC5A6" w14:textId="3B06F80C" w:rsidR="00DB32B4" w:rsidRDefault="00747A61" w:rsidP="00DE78B3">
            <w:pPr>
              <w:jc w:val="center"/>
            </w:pPr>
            <w:r>
              <w:rPr>
                <w:noProof/>
                <w:lang w:eastAsia="fr-FR"/>
              </w:rPr>
              <w:drawing>
                <wp:inline distT="0" distB="0" distL="0" distR="0" wp14:anchorId="2AF64739" wp14:editId="7601B844">
                  <wp:extent cx="1092200" cy="1371600"/>
                  <wp:effectExtent l="0" t="0" r="0" b="0"/>
                  <wp:docPr id="11"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
                          <pic:cNvPicPr>
                            <a:picLocks noChangeAspect="1" noChangeArrowheads="1"/>
                          </pic:cNvPicPr>
                        </pic:nvPicPr>
                        <pic:blipFill>
                          <a:blip r:embed="rId19">
                            <a:extLst>
                              <a:ext uri="{28A0092B-C50C-407E-A947-70E740481C1C}">
                                <a14:useLocalDpi xmlns:a14="http://schemas.microsoft.com/office/drawing/2010/main" val="0"/>
                              </a:ext>
                            </a:extLst>
                          </a:blip>
                          <a:srcRect l="-32121" r="-32793" b="-279"/>
                          <a:stretch>
                            <a:fillRect/>
                          </a:stretch>
                        </pic:blipFill>
                        <pic:spPr bwMode="auto">
                          <a:xfrm>
                            <a:off x="0" y="0"/>
                            <a:ext cx="1092200" cy="13716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64943E7B" w14:textId="68D22A48" w:rsidR="00DB32B4" w:rsidRDefault="00DB32B4" w:rsidP="00DE78B3">
            <w:r>
              <w:t>Videz le contenu du sachet</w:t>
            </w:r>
            <w:r w:rsidR="000B05E3">
              <w:t> </w:t>
            </w:r>
            <w:r>
              <w:t xml:space="preserve">2 dans le </w:t>
            </w:r>
            <w:r w:rsidR="00912F02">
              <w:t>verre</w:t>
            </w:r>
            <w:r>
              <w:t>.</w:t>
            </w:r>
          </w:p>
        </w:tc>
      </w:tr>
      <w:tr w:rsidR="00DB32B4" w14:paraId="4F747A4E" w14:textId="77777777">
        <w:trPr>
          <w:gridAfter w:val="1"/>
          <w:wAfter w:w="19" w:type="dxa"/>
          <w:cantSplit/>
        </w:trPr>
        <w:tc>
          <w:tcPr>
            <w:tcW w:w="1242" w:type="dxa"/>
            <w:tcBorders>
              <w:top w:val="single" w:sz="2" w:space="0" w:color="auto"/>
              <w:left w:val="single" w:sz="2" w:space="0" w:color="auto"/>
              <w:bottom w:val="single" w:sz="2" w:space="0" w:color="auto"/>
              <w:right w:val="nil"/>
            </w:tcBorders>
          </w:tcPr>
          <w:p w14:paraId="46DCF667" w14:textId="417CB67B" w:rsidR="00DB32B4" w:rsidRDefault="00DB32B4" w:rsidP="00DE78B3">
            <w:r>
              <w:t>Étape 11</w:t>
            </w:r>
          </w:p>
        </w:tc>
        <w:tc>
          <w:tcPr>
            <w:tcW w:w="3686" w:type="dxa"/>
            <w:tcBorders>
              <w:top w:val="single" w:sz="2" w:space="0" w:color="auto"/>
              <w:left w:val="nil"/>
              <w:bottom w:val="single" w:sz="2" w:space="0" w:color="auto"/>
              <w:right w:val="nil"/>
            </w:tcBorders>
          </w:tcPr>
          <w:p w14:paraId="25E5A90F" w14:textId="1F3A249B" w:rsidR="00DB32B4" w:rsidRDefault="00747A61" w:rsidP="00DE78B3">
            <w:pPr>
              <w:jc w:val="center"/>
            </w:pPr>
            <w:r>
              <w:rPr>
                <w:noProof/>
                <w:lang w:eastAsia="fr-FR"/>
              </w:rPr>
              <w:drawing>
                <wp:inline distT="0" distB="0" distL="0" distR="0" wp14:anchorId="2992FBD6" wp14:editId="1DB0B5C6">
                  <wp:extent cx="990600" cy="1435100"/>
                  <wp:effectExtent l="0" t="0" r="0" b="1270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14351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76935D8B" w14:textId="38EFAF2F" w:rsidR="00DB32B4" w:rsidRDefault="00BC0497" w:rsidP="00DE78B3">
            <w:r>
              <w:t xml:space="preserve">Mélangez </w:t>
            </w:r>
            <w:r w:rsidR="00DB32B4">
              <w:t>pendant au moins 30 secondes. La poudre du sachet</w:t>
            </w:r>
            <w:r w:rsidR="000B05E3">
              <w:t> </w:t>
            </w:r>
            <w:r w:rsidR="00DB32B4">
              <w:t>2 peut ne pas se dissoudre complètement. Elle former</w:t>
            </w:r>
            <w:r w:rsidR="002E6647">
              <w:t>a</w:t>
            </w:r>
            <w:r w:rsidR="00DB32B4">
              <w:t xml:space="preserve"> un mélange légèrement trouble avec des particules blanches.</w:t>
            </w:r>
          </w:p>
          <w:p w14:paraId="0E788713" w14:textId="77777777" w:rsidR="00DB32B4" w:rsidRDefault="00DB32B4" w:rsidP="00DE78B3"/>
          <w:p w14:paraId="40E294D5" w14:textId="1FF84E6C" w:rsidR="00DB32B4" w:rsidRDefault="00DB32B4" w:rsidP="00DE78B3">
            <w:r w:rsidRPr="00DB32B4">
              <w:t>Si vous le souhaitez, après avoir mélangé le sachet</w:t>
            </w:r>
            <w:r w:rsidR="000B05E3">
              <w:t> </w:t>
            </w:r>
            <w:r w:rsidRPr="00DB32B4">
              <w:t>2 pendant au moins 30</w:t>
            </w:r>
            <w:r>
              <w:t> </w:t>
            </w:r>
            <w:r w:rsidRPr="00DB32B4">
              <w:t>secondes, vous pouvez ajouter de l</w:t>
            </w:r>
            <w:r>
              <w:t>’</w:t>
            </w:r>
            <w:r w:rsidRPr="00DB32B4">
              <w:t xml:space="preserve">édulcorant </w:t>
            </w:r>
            <w:r>
              <w:t>stévia (pas plus de 1 gramme ou ¼ </w:t>
            </w:r>
            <w:r w:rsidR="00103D1D">
              <w:t xml:space="preserve">de </w:t>
            </w:r>
            <w:r w:rsidRPr="00DB32B4">
              <w:t>cuillère à café) ou du s</w:t>
            </w:r>
            <w:r>
              <w:t>ucre (saccharose, pas plus de 4 grammes ou 1 </w:t>
            </w:r>
            <w:r w:rsidRPr="00DB32B4">
              <w:t>cuillère à café), puis méla</w:t>
            </w:r>
            <w:r>
              <w:t>nger le tout à la suspension. N’</w:t>
            </w:r>
            <w:r w:rsidR="000B716C">
              <w:t>AJOUTEZ PAS</w:t>
            </w:r>
            <w:r>
              <w:t xml:space="preserve"> d’</w:t>
            </w:r>
            <w:r w:rsidRPr="00DB32B4">
              <w:t>autres édulcora</w:t>
            </w:r>
            <w:r>
              <w:t xml:space="preserve">nts car cela pourrait </w:t>
            </w:r>
            <w:r w:rsidR="00CB52BE">
              <w:t>diminuer</w:t>
            </w:r>
            <w:r>
              <w:t xml:space="preserve"> l’</w:t>
            </w:r>
            <w:r w:rsidRPr="00DB32B4">
              <w:t>efficacité du vaccin.</w:t>
            </w:r>
          </w:p>
        </w:tc>
      </w:tr>
      <w:tr w:rsidR="00DB32B4" w14:paraId="5E1B0846" w14:textId="77777777">
        <w:trPr>
          <w:gridAfter w:val="1"/>
          <w:wAfter w:w="19" w:type="dxa"/>
          <w:cantSplit/>
        </w:trPr>
        <w:tc>
          <w:tcPr>
            <w:tcW w:w="1242" w:type="dxa"/>
            <w:tcBorders>
              <w:top w:val="single" w:sz="2" w:space="0" w:color="auto"/>
              <w:left w:val="single" w:sz="2" w:space="0" w:color="auto"/>
              <w:bottom w:val="single" w:sz="2" w:space="0" w:color="auto"/>
              <w:right w:val="nil"/>
            </w:tcBorders>
          </w:tcPr>
          <w:p w14:paraId="4284F4C0" w14:textId="6174147B" w:rsidR="00DB32B4" w:rsidRDefault="00DB32B4" w:rsidP="00DE78B3">
            <w:r>
              <w:t>Étape 12</w:t>
            </w:r>
          </w:p>
        </w:tc>
        <w:tc>
          <w:tcPr>
            <w:tcW w:w="3686" w:type="dxa"/>
            <w:tcBorders>
              <w:top w:val="single" w:sz="2" w:space="0" w:color="auto"/>
              <w:left w:val="nil"/>
              <w:bottom w:val="single" w:sz="2" w:space="0" w:color="auto"/>
              <w:right w:val="nil"/>
            </w:tcBorders>
          </w:tcPr>
          <w:p w14:paraId="01AE519B" w14:textId="3D0DD99E" w:rsidR="00DB32B4" w:rsidRDefault="00747A61" w:rsidP="00DE78B3">
            <w:pPr>
              <w:jc w:val="center"/>
            </w:pPr>
            <w:r>
              <w:rPr>
                <w:noProof/>
                <w:lang w:eastAsia="fr-FR"/>
              </w:rPr>
              <w:drawing>
                <wp:inline distT="0" distB="0" distL="0" distR="0" wp14:anchorId="38EADD87" wp14:editId="3357741A">
                  <wp:extent cx="1612900" cy="128270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2900" cy="12827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35963278" w14:textId="5D895B18" w:rsidR="00DB32B4" w:rsidRDefault="00DB32B4" w:rsidP="00DE78B3">
            <w:r>
              <w:t xml:space="preserve">Buvez tout le contenu du </w:t>
            </w:r>
            <w:r w:rsidR="00912F02">
              <w:t>verre</w:t>
            </w:r>
            <w:r>
              <w:t xml:space="preserve"> dans les 15 minutes suivant la préparation du mélange. Quelques résidus peuvent rester dans le </w:t>
            </w:r>
            <w:r w:rsidR="00912F02">
              <w:t>verre</w:t>
            </w:r>
            <w:r>
              <w:t xml:space="preserve">. Vous devez les jeter. </w:t>
            </w:r>
            <w:r w:rsidRPr="00DB32B4">
              <w:t>Si vous ou votre enfant prenez moins de la moitié de la dose, contactez immédiatement votre médecin, votre pharmacien ou votre infirmi</w:t>
            </w:r>
            <w:r>
              <w:t>er/ère pour savoir s’</w:t>
            </w:r>
            <w:r w:rsidRPr="00DB32B4">
              <w:t>il est nécessaire de répéter la dose.</w:t>
            </w:r>
          </w:p>
        </w:tc>
      </w:tr>
      <w:tr w:rsidR="00DB32B4" w14:paraId="7B84C9B9" w14:textId="77777777">
        <w:trPr>
          <w:gridAfter w:val="1"/>
          <w:wAfter w:w="19" w:type="dxa"/>
          <w:cantSplit/>
          <w:trHeight w:val="3391"/>
        </w:trPr>
        <w:tc>
          <w:tcPr>
            <w:tcW w:w="1242" w:type="dxa"/>
            <w:tcBorders>
              <w:top w:val="single" w:sz="2" w:space="0" w:color="auto"/>
              <w:left w:val="single" w:sz="2" w:space="0" w:color="auto"/>
              <w:bottom w:val="single" w:sz="2" w:space="0" w:color="auto"/>
              <w:right w:val="nil"/>
            </w:tcBorders>
          </w:tcPr>
          <w:p w14:paraId="4E1947BC" w14:textId="3DA29C04" w:rsidR="00DB32B4" w:rsidRDefault="00DB32B4" w:rsidP="00DE78B3">
            <w:r>
              <w:lastRenderedPageBreak/>
              <w:t>Étape 13</w:t>
            </w:r>
          </w:p>
        </w:tc>
        <w:tc>
          <w:tcPr>
            <w:tcW w:w="3686" w:type="dxa"/>
            <w:tcBorders>
              <w:top w:val="single" w:sz="2" w:space="0" w:color="auto"/>
              <w:left w:val="nil"/>
              <w:bottom w:val="single" w:sz="2" w:space="0" w:color="auto"/>
              <w:right w:val="nil"/>
            </w:tcBorders>
            <w:tcMar>
              <w:top w:w="28" w:type="dxa"/>
            </w:tcMar>
          </w:tcPr>
          <w:p w14:paraId="3AE1DD20" w14:textId="35C11C98" w:rsidR="00DB32B4" w:rsidRDefault="00747A61" w:rsidP="00DE78B3">
            <w:pPr>
              <w:jc w:val="center"/>
            </w:pPr>
            <w:r>
              <w:rPr>
                <w:noProof/>
                <w:lang w:eastAsia="fr-FR"/>
              </w:rPr>
              <w:drawing>
                <wp:inline distT="0" distB="0" distL="0" distR="0" wp14:anchorId="771CB5D7" wp14:editId="30EAAB79">
                  <wp:extent cx="1092200" cy="2044700"/>
                  <wp:effectExtent l="0" t="0" r="0" b="12700"/>
                  <wp:docPr id="1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2200" cy="20447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05ECE8B3" w14:textId="77777777" w:rsidR="00DB32B4" w:rsidRDefault="00DB32B4" w:rsidP="00DE78B3">
            <w:r>
              <w:t>Jetez les sachets vides conformément aux directives en vigueur à l’échelle locale en matière de biosécurité.</w:t>
            </w:r>
          </w:p>
          <w:p w14:paraId="6CA7C6DC" w14:textId="77777777" w:rsidR="00DB32B4" w:rsidRDefault="00DB32B4" w:rsidP="00DE78B3">
            <w:r>
              <w:t>Demandez à votre médecin, pharmacien ou infirmier/ère d’éliminer les déchets médicamenteux.</w:t>
            </w:r>
          </w:p>
        </w:tc>
      </w:tr>
      <w:tr w:rsidR="00DB32B4" w14:paraId="6292A003" w14:textId="77777777">
        <w:trPr>
          <w:gridAfter w:val="1"/>
          <w:wAfter w:w="19" w:type="dxa"/>
          <w:cantSplit/>
        </w:trPr>
        <w:tc>
          <w:tcPr>
            <w:tcW w:w="1242" w:type="dxa"/>
            <w:tcBorders>
              <w:top w:val="single" w:sz="2" w:space="0" w:color="auto"/>
              <w:left w:val="single" w:sz="2" w:space="0" w:color="auto"/>
              <w:bottom w:val="single" w:sz="2" w:space="0" w:color="auto"/>
              <w:right w:val="nil"/>
            </w:tcBorders>
          </w:tcPr>
          <w:p w14:paraId="303BBC50" w14:textId="224814BB" w:rsidR="00DB32B4" w:rsidRDefault="00DB32B4" w:rsidP="00DE78B3">
            <w:r>
              <w:t>Étape 14</w:t>
            </w:r>
          </w:p>
        </w:tc>
        <w:tc>
          <w:tcPr>
            <w:tcW w:w="3686" w:type="dxa"/>
            <w:tcBorders>
              <w:top w:val="single" w:sz="2" w:space="0" w:color="auto"/>
              <w:left w:val="nil"/>
              <w:bottom w:val="single" w:sz="2" w:space="0" w:color="auto"/>
              <w:right w:val="nil"/>
            </w:tcBorders>
            <w:tcMar>
              <w:top w:w="28" w:type="dxa"/>
            </w:tcMar>
          </w:tcPr>
          <w:p w14:paraId="7EB41782" w14:textId="315E428B" w:rsidR="00DB32B4" w:rsidRDefault="00747A61" w:rsidP="00DE78B3">
            <w:pPr>
              <w:jc w:val="center"/>
            </w:pPr>
            <w:r>
              <w:rPr>
                <w:noProof/>
                <w:lang w:eastAsia="fr-FR"/>
              </w:rPr>
              <w:drawing>
                <wp:inline distT="0" distB="0" distL="0" distR="0" wp14:anchorId="210BCB89" wp14:editId="7EB99A38">
                  <wp:extent cx="1676400" cy="825500"/>
                  <wp:effectExtent l="0" t="0" r="0" b="1270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6400" cy="8255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5DF6DD3F" w14:textId="002FB803" w:rsidR="00DB32B4" w:rsidRDefault="00DB32B4" w:rsidP="00DE78B3">
            <w:r>
              <w:t xml:space="preserve">Si vous renversez du produit en mélangeant ou en buvant le médicament ou si des résidus (poudre ou liquide resté sur un ustensile, dans le </w:t>
            </w:r>
            <w:r w:rsidR="00912F02">
              <w:t>verre</w:t>
            </w:r>
            <w:r>
              <w:t xml:space="preserve"> ou sur un autre objet) sont présents sur la surface utilisée pour effectuer le mélange, éliminez le produit renversé ou les résidus, de préférence avec un </w:t>
            </w:r>
            <w:r w:rsidR="00912F02">
              <w:t xml:space="preserve">essuie-tout en </w:t>
            </w:r>
            <w:r>
              <w:t>papier jetable</w:t>
            </w:r>
            <w:r w:rsidR="00912F02">
              <w:t xml:space="preserve"> et</w:t>
            </w:r>
            <w:r>
              <w:t xml:space="preserve"> à</w:t>
            </w:r>
            <w:r w:rsidR="00CB52BE">
              <w:t xml:space="preserve"> l’aide</w:t>
            </w:r>
            <w:r>
              <w:t xml:space="preserve"> </w:t>
            </w:r>
            <w:r w:rsidR="00103D1D">
              <w:t>d’eau chaude</w:t>
            </w:r>
            <w:r w:rsidR="00CB52BE">
              <w:t xml:space="preserve"> savonneuse</w:t>
            </w:r>
            <w:r w:rsidR="00103D1D" w:rsidDel="00103D1D">
              <w:t xml:space="preserve"> </w:t>
            </w:r>
            <w:r>
              <w:t>ou d</w:t>
            </w:r>
            <w:r w:rsidR="002E6647">
              <w:t>e désinfectant antibactérien</w:t>
            </w:r>
            <w:r w:rsidR="00CB52BE">
              <w:t xml:space="preserve">. </w:t>
            </w:r>
            <w:r>
              <w:t>Jetez le papier absorbant avec les sachets (voir ci-dessus).</w:t>
            </w:r>
          </w:p>
        </w:tc>
      </w:tr>
      <w:tr w:rsidR="00DB32B4" w14:paraId="16B8B811" w14:textId="77777777">
        <w:trPr>
          <w:gridAfter w:val="1"/>
          <w:wAfter w:w="19" w:type="dxa"/>
          <w:cantSplit/>
        </w:trPr>
        <w:tc>
          <w:tcPr>
            <w:tcW w:w="1242" w:type="dxa"/>
            <w:tcBorders>
              <w:top w:val="single" w:sz="2" w:space="0" w:color="auto"/>
              <w:left w:val="single" w:sz="2" w:space="0" w:color="auto"/>
              <w:bottom w:val="single" w:sz="2" w:space="0" w:color="auto"/>
              <w:right w:val="nil"/>
            </w:tcBorders>
          </w:tcPr>
          <w:p w14:paraId="2E118309" w14:textId="42500427" w:rsidR="00DB32B4" w:rsidRDefault="00DB32B4" w:rsidP="00DE78B3">
            <w:r>
              <w:t>Étape 15</w:t>
            </w:r>
          </w:p>
        </w:tc>
        <w:tc>
          <w:tcPr>
            <w:tcW w:w="3686" w:type="dxa"/>
            <w:tcBorders>
              <w:top w:val="single" w:sz="2" w:space="0" w:color="auto"/>
              <w:left w:val="nil"/>
              <w:bottom w:val="single" w:sz="2" w:space="0" w:color="auto"/>
              <w:right w:val="nil"/>
            </w:tcBorders>
            <w:tcMar>
              <w:top w:w="28" w:type="dxa"/>
            </w:tcMar>
          </w:tcPr>
          <w:p w14:paraId="70DCB1FB" w14:textId="7F5D70C6" w:rsidR="00DB32B4" w:rsidRDefault="00747A61" w:rsidP="00DE78B3">
            <w:pPr>
              <w:jc w:val="center"/>
            </w:pPr>
            <w:r>
              <w:rPr>
                <w:noProof/>
                <w:lang w:eastAsia="fr-FR"/>
              </w:rPr>
              <w:drawing>
                <wp:inline distT="0" distB="0" distL="0" distR="0" wp14:anchorId="351372CC" wp14:editId="48BFC10A">
                  <wp:extent cx="1358900" cy="1790700"/>
                  <wp:effectExtent l="0" t="0" r="12700" b="1270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8900" cy="17907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5DA4CF7C" w14:textId="2088FCB1" w:rsidR="00DB32B4" w:rsidRDefault="00DB32B4" w:rsidP="00DE78B3">
            <w:r>
              <w:t xml:space="preserve">Nettoyez le </w:t>
            </w:r>
            <w:r w:rsidR="00912F02">
              <w:t>verre</w:t>
            </w:r>
            <w:r>
              <w:t xml:space="preserve"> et la cuillère, ou </w:t>
            </w:r>
            <w:r w:rsidR="00CB52BE">
              <w:t>l’agitateur</w:t>
            </w:r>
            <w:r>
              <w:t>, avec de l’eau chaude</w:t>
            </w:r>
            <w:r w:rsidR="00CB52BE">
              <w:t xml:space="preserve"> et du liquide vaisselle</w:t>
            </w:r>
            <w:r>
              <w:t>.</w:t>
            </w:r>
          </w:p>
        </w:tc>
      </w:tr>
      <w:tr w:rsidR="00DB32B4" w14:paraId="160BD33F" w14:textId="77777777">
        <w:trPr>
          <w:gridAfter w:val="1"/>
          <w:wAfter w:w="19" w:type="dxa"/>
          <w:cantSplit/>
          <w:trHeight w:val="2624"/>
        </w:trPr>
        <w:tc>
          <w:tcPr>
            <w:tcW w:w="1242" w:type="dxa"/>
            <w:tcBorders>
              <w:top w:val="single" w:sz="2" w:space="0" w:color="auto"/>
              <w:left w:val="single" w:sz="2" w:space="0" w:color="auto"/>
              <w:bottom w:val="single" w:sz="2" w:space="0" w:color="auto"/>
              <w:right w:val="nil"/>
            </w:tcBorders>
          </w:tcPr>
          <w:p w14:paraId="477A2CDB" w14:textId="12BC2B2E" w:rsidR="00DB32B4" w:rsidRDefault="00DB32B4" w:rsidP="00DE78B3">
            <w:r>
              <w:t>Étape 16</w:t>
            </w:r>
          </w:p>
        </w:tc>
        <w:tc>
          <w:tcPr>
            <w:tcW w:w="3686" w:type="dxa"/>
            <w:tcBorders>
              <w:top w:val="single" w:sz="2" w:space="0" w:color="auto"/>
              <w:left w:val="nil"/>
              <w:bottom w:val="single" w:sz="2" w:space="0" w:color="auto"/>
              <w:right w:val="nil"/>
            </w:tcBorders>
            <w:tcMar>
              <w:top w:w="28" w:type="dxa"/>
            </w:tcMar>
          </w:tcPr>
          <w:p w14:paraId="3517AEBE" w14:textId="41962124" w:rsidR="00DB32B4" w:rsidRDefault="00747A61" w:rsidP="00DE78B3">
            <w:pPr>
              <w:jc w:val="center"/>
            </w:pPr>
            <w:r>
              <w:rPr>
                <w:noProof/>
                <w:lang w:eastAsia="fr-FR"/>
              </w:rPr>
              <w:drawing>
                <wp:inline distT="0" distB="0" distL="0" distR="0" wp14:anchorId="3B54A5A8" wp14:editId="7C28BAE0">
                  <wp:extent cx="1143000" cy="16002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0" cy="16002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6897790D" w14:textId="276508DD" w:rsidR="00DB32B4" w:rsidRDefault="00DB32B4" w:rsidP="00DE78B3">
            <w:r>
              <w:t xml:space="preserve">Afin d’éviter toute contamination, </w:t>
            </w:r>
            <w:proofErr w:type="spellStart"/>
            <w:r>
              <w:t>lavez</w:t>
            </w:r>
            <w:proofErr w:type="spellEnd"/>
            <w:r>
              <w:t xml:space="preserve">-vous soigneusement les mains avec </w:t>
            </w:r>
            <w:r w:rsidR="00103D1D">
              <w:t>de l’eau chaude</w:t>
            </w:r>
            <w:r w:rsidR="00CB52BE">
              <w:t xml:space="preserve"> savonneuse</w:t>
            </w:r>
            <w:r>
              <w:t>.</w:t>
            </w:r>
          </w:p>
        </w:tc>
      </w:tr>
    </w:tbl>
    <w:p w14:paraId="5EB3E476" w14:textId="77777777" w:rsidR="009C5AEA" w:rsidRDefault="009C5AEA" w:rsidP="00DE78B3"/>
    <w:p w14:paraId="47AA7344" w14:textId="39DF3F51" w:rsidR="009C5AEA" w:rsidRDefault="00F52356" w:rsidP="00DE78B3">
      <w:r>
        <w:t>Si vous avez d’autres questions sur l’utilisation de ce médicament, demandez plus d’informations à votre médecin, à votre pharmacien ou à votre infirmier</w:t>
      </w:r>
      <w:r w:rsidR="008B21C0">
        <w:t>/ère</w:t>
      </w:r>
      <w:r>
        <w:t>.</w:t>
      </w:r>
    </w:p>
    <w:p w14:paraId="7114D057" w14:textId="77777777" w:rsidR="009C5AEA" w:rsidRDefault="009C5AEA" w:rsidP="00DE78B3"/>
    <w:p w14:paraId="4689953D" w14:textId="77777777" w:rsidR="009C5AEA" w:rsidRDefault="009C5AEA" w:rsidP="00DE78B3"/>
    <w:p w14:paraId="272F13E9" w14:textId="7C1C76C3" w:rsidR="009C5AEA" w:rsidRPr="009135CD" w:rsidRDefault="00F52356" w:rsidP="00903F7D">
      <w:pPr>
        <w:rPr>
          <w:b/>
          <w:bCs/>
          <w:color w:val="FFFFFF" w:themeColor="background1"/>
          <w:highlight w:val="black"/>
        </w:rPr>
      </w:pPr>
      <w:r w:rsidRPr="009135CD">
        <w:rPr>
          <w:b/>
          <w:bCs/>
          <w:color w:val="FFFFFF" w:themeColor="background1"/>
          <w:highlight w:val="black"/>
        </w:rPr>
        <w:t>4.</w:t>
      </w:r>
      <w:r w:rsidRPr="009135CD">
        <w:rPr>
          <w:b/>
          <w:bCs/>
          <w:color w:val="FFFFFF" w:themeColor="background1"/>
          <w:highlight w:val="black"/>
        </w:rPr>
        <w:tab/>
        <w:t>Quels sont les effets indésirables éventuels ?</w:t>
      </w:r>
    </w:p>
    <w:p w14:paraId="541BA7D0" w14:textId="62FB92AE" w:rsidR="009C5AEA" w:rsidRDefault="009C5AEA" w:rsidP="00DE78B3">
      <w:pPr>
        <w:keepNext/>
      </w:pPr>
    </w:p>
    <w:p w14:paraId="4401AC0E" w14:textId="7025A1E4" w:rsidR="009C5AEA" w:rsidRDefault="00F52356" w:rsidP="00DE78B3">
      <w:r>
        <w:t xml:space="preserve">Comme tous les vaccins, ce vaccin peut provoquer des effets </w:t>
      </w:r>
      <w:r w:rsidR="008B21C0">
        <w:t xml:space="preserve">indésirables, mais ils </w:t>
      </w:r>
      <w:r>
        <w:t>ne surviennent pas systématiquement chez tout le monde.</w:t>
      </w:r>
    </w:p>
    <w:p w14:paraId="288C76AE" w14:textId="58386FC5" w:rsidR="00471998" w:rsidRDefault="00471998" w:rsidP="00DE78B3">
      <w:pPr>
        <w:keepNext/>
      </w:pPr>
      <w:r>
        <w:rPr>
          <w:noProof/>
        </w:rPr>
        <w:lastRenderedPageBreak/>
        <mc:AlternateContent>
          <mc:Choice Requires="wps">
            <w:drawing>
              <wp:anchor distT="45720" distB="45720" distL="114300" distR="114300" simplePos="0" relativeHeight="251663872" behindDoc="0" locked="0" layoutInCell="1" allowOverlap="1" wp14:anchorId="4817F602" wp14:editId="3DFD558D">
                <wp:simplePos x="0" y="0"/>
                <wp:positionH relativeFrom="margin">
                  <wp:posOffset>-635</wp:posOffset>
                </wp:positionH>
                <wp:positionV relativeFrom="paragraph">
                  <wp:posOffset>0</wp:posOffset>
                </wp:positionV>
                <wp:extent cx="6083300" cy="582295"/>
                <wp:effectExtent l="0" t="0" r="12700" b="27940"/>
                <wp:wrapSquare wrapText="bothSides"/>
                <wp:docPr id="732643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582295"/>
                        </a:xfrm>
                        <a:prstGeom prst="rect">
                          <a:avLst/>
                        </a:prstGeom>
                        <a:solidFill>
                          <a:schemeClr val="bg1">
                            <a:lumMod val="75000"/>
                          </a:schemeClr>
                        </a:solidFill>
                        <a:ln w="9525">
                          <a:solidFill>
                            <a:schemeClr val="bg1">
                              <a:lumMod val="75000"/>
                            </a:schemeClr>
                          </a:solidFill>
                          <a:miter lim="800000"/>
                          <a:headEnd/>
                          <a:tailEnd/>
                        </a:ln>
                      </wps:spPr>
                      <wps:txbx>
                        <w:txbxContent>
                          <w:p w14:paraId="61644D05" w14:textId="77AD4AB8" w:rsidR="00471998" w:rsidRDefault="00471998" w:rsidP="00471998">
                            <w:r>
                              <w:t xml:space="preserve">Si vous ressentez les effets indésirables graves suivants, </w:t>
                            </w:r>
                            <w:r w:rsidRPr="00471998">
                              <w:rPr>
                                <w:b/>
                                <w:bCs/>
                              </w:rPr>
                              <w:t>consultez immédiatement un médecin</w:t>
                            </w:r>
                            <w:r>
                              <w:t> :</w:t>
                            </w:r>
                          </w:p>
                          <w:p w14:paraId="79B55B75" w14:textId="16C109BE" w:rsidR="00471998" w:rsidRPr="00471998" w:rsidRDefault="00471998" w:rsidP="00471998">
                            <w:pPr>
                              <w:pStyle w:val="Bullet"/>
                              <w:tabs>
                                <w:tab w:val="left" w:pos="1134"/>
                              </w:tabs>
                              <w:ind w:left="1134" w:hanging="567"/>
                            </w:pPr>
                            <w:proofErr w:type="gramStart"/>
                            <w:r>
                              <w:t>réactions</w:t>
                            </w:r>
                            <w:proofErr w:type="gramEnd"/>
                            <w:r>
                              <w:t xml:space="preserve"> allergiques graves entraînant un gonflement du visage ou de la gorge, de l’urticaire, une éruption cutanée avec démangeaisons, un essoufflement et/ou chute de la tension artérielle et perte de connaissance.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7F602" id="_x0000_s1029" type="#_x0000_t202" style="position:absolute;margin-left:-.05pt;margin-top:0;width:479pt;height:45.85pt;z-index:251663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" fillcolor="#bfbfbf [2412]" strokecolor="#bfbfbf [2412]">
                <v:textbox style="mso-fit-shape-to-text:t">
                  <w:txbxContent>
                    <w:p w14:paraId="61644D05" w14:textId="77AD4AB8" w:rsidR="00471998" w:rsidRDefault="00471998" w:rsidP="00471998">
                      <w:r>
                        <w:t xml:space="preserve">Si vous ressentez les effets indésirables graves suivants, </w:t>
                      </w:r>
                      <w:r w:rsidRPr="00471998">
                        <w:rPr>
                          <w:b/>
                          <w:bCs/>
                        </w:rPr>
                        <w:t>consultez immédiatement un médecin</w:t>
                      </w:r>
                      <w:r>
                        <w:t> :</w:t>
                      </w:r>
                    </w:p>
                    <w:p w14:paraId="79B55B75" w14:textId="16C109BE" w:rsidR="00471998" w:rsidRPr="00471998" w:rsidRDefault="00471998" w:rsidP="00471998">
                      <w:pPr>
                        <w:pStyle w:val="Bullet"/>
                        <w:tabs>
                          <w:tab w:val="left" w:pos="1134"/>
                        </w:tabs>
                        <w:ind w:left="1134" w:hanging="567"/>
                      </w:pPr>
                      <w:proofErr w:type="gramStart"/>
                      <w:r>
                        <w:t>réactions</w:t>
                      </w:r>
                      <w:proofErr w:type="gramEnd"/>
                      <w:r>
                        <w:t xml:space="preserve"> allergiques graves entraînant un gonflement du visage ou de la gorge, de l’urticaire, une éruption cutanée avec démangeaisons, un essoufflement et/ou chute de la tension artérielle et perte de connaissance.</w:t>
                      </w:r>
                    </w:p>
                  </w:txbxContent>
                </v:textbox>
                <w10:wrap type="square" anchorx="margin"/>
              </v:shape>
            </w:pict>
          </mc:Fallback>
        </mc:AlternateContent>
      </w:r>
    </w:p>
    <w:p w14:paraId="364EBFDD" w14:textId="1E11B654" w:rsidR="009C5AEA" w:rsidRDefault="00F52356" w:rsidP="00DE78B3">
      <w:pPr>
        <w:keepNext/>
      </w:pPr>
      <w:r>
        <w:t>Autres effets indésirables :</w:t>
      </w:r>
    </w:p>
    <w:p w14:paraId="06234938" w14:textId="6B8BF085" w:rsidR="009C5AEA" w:rsidRDefault="00F52356" w:rsidP="00DE78B3">
      <w:pPr>
        <w:keepNext/>
      </w:pPr>
      <w:r>
        <w:t xml:space="preserve">Effets </w:t>
      </w:r>
      <w:r w:rsidR="008B21C0">
        <w:t xml:space="preserve">indésirables </w:t>
      </w:r>
      <w:r>
        <w:t xml:space="preserve">très fréquents (susceptibles de concerner </w:t>
      </w:r>
      <w:r w:rsidR="00EF789A">
        <w:t>plus de</w:t>
      </w:r>
      <w:r>
        <w:t xml:space="preserve"> 1</w:t>
      </w:r>
      <w:r w:rsidR="008B21C0">
        <w:t> </w:t>
      </w:r>
      <w:r>
        <w:t>personne sur 10)</w:t>
      </w:r>
    </w:p>
    <w:p w14:paraId="497424B7" w14:textId="77777777" w:rsidR="008B21C0" w:rsidRDefault="008B21C0" w:rsidP="00DE78B3">
      <w:pPr>
        <w:pStyle w:val="Bullet"/>
        <w:tabs>
          <w:tab w:val="left" w:pos="1134"/>
        </w:tabs>
        <w:ind w:left="1134"/>
      </w:pPr>
      <w:proofErr w:type="gramStart"/>
      <w:r>
        <w:t>fatigue</w:t>
      </w:r>
      <w:proofErr w:type="gramEnd"/>
    </w:p>
    <w:p w14:paraId="12BCAB35" w14:textId="72971274" w:rsidR="009C5AEA" w:rsidRDefault="00103D1D" w:rsidP="00DE78B3">
      <w:pPr>
        <w:pStyle w:val="Bullet"/>
        <w:tabs>
          <w:tab w:val="left" w:pos="1134"/>
        </w:tabs>
        <w:ind w:left="1134"/>
      </w:pPr>
      <w:proofErr w:type="gramStart"/>
      <w:r>
        <w:t>m</w:t>
      </w:r>
      <w:r w:rsidR="00F52356">
        <w:t>aux</w:t>
      </w:r>
      <w:proofErr w:type="gramEnd"/>
      <w:r w:rsidR="00F52356">
        <w:t xml:space="preserve"> de tête</w:t>
      </w:r>
    </w:p>
    <w:p w14:paraId="6B00DD21" w14:textId="28ABDAF6" w:rsidR="009C5AEA" w:rsidRDefault="00103D1D" w:rsidP="00DE78B3">
      <w:pPr>
        <w:pStyle w:val="Bullet"/>
        <w:tabs>
          <w:tab w:val="left" w:pos="1134"/>
        </w:tabs>
        <w:ind w:left="1134"/>
      </w:pPr>
      <w:proofErr w:type="gramStart"/>
      <w:r>
        <w:t>m</w:t>
      </w:r>
      <w:r w:rsidR="00F52356">
        <w:t>aux</w:t>
      </w:r>
      <w:proofErr w:type="gramEnd"/>
      <w:r w:rsidR="00F52356">
        <w:t xml:space="preserve"> d’estomac</w:t>
      </w:r>
    </w:p>
    <w:p w14:paraId="1B3022C4" w14:textId="63FBDBB8" w:rsidR="009C5AEA" w:rsidRDefault="00103D1D" w:rsidP="00DE78B3">
      <w:pPr>
        <w:pStyle w:val="Bullet"/>
        <w:tabs>
          <w:tab w:val="left" w:pos="1134"/>
        </w:tabs>
        <w:ind w:left="1134"/>
      </w:pPr>
      <w:proofErr w:type="gramStart"/>
      <w:r>
        <w:t>s</w:t>
      </w:r>
      <w:r w:rsidR="00F52356">
        <w:t>ensation</w:t>
      </w:r>
      <w:proofErr w:type="gramEnd"/>
      <w:r w:rsidR="00F52356">
        <w:t xml:space="preserve"> ou état nauséeux</w:t>
      </w:r>
    </w:p>
    <w:p w14:paraId="20B282B6" w14:textId="4FD3542B" w:rsidR="009C5AEA" w:rsidRDefault="00F52356" w:rsidP="00DE78B3">
      <w:pPr>
        <w:pStyle w:val="Bullet"/>
        <w:tabs>
          <w:tab w:val="left" w:pos="1134"/>
        </w:tabs>
        <w:ind w:left="1134"/>
      </w:pPr>
      <w:proofErr w:type="gramStart"/>
      <w:r>
        <w:t>appétit</w:t>
      </w:r>
      <w:proofErr w:type="gramEnd"/>
      <w:r w:rsidR="00B736F9">
        <w:t xml:space="preserve"> diminué</w:t>
      </w:r>
    </w:p>
    <w:p w14:paraId="5CD7F358" w14:textId="77777777" w:rsidR="009C5AEA" w:rsidRDefault="009C5AEA" w:rsidP="00DE78B3"/>
    <w:p w14:paraId="639F66AF" w14:textId="76DCA27D" w:rsidR="009C5AEA" w:rsidRDefault="00F52356" w:rsidP="00DE78B3">
      <w:pPr>
        <w:keepNext/>
      </w:pPr>
      <w:r>
        <w:t xml:space="preserve">Effets </w:t>
      </w:r>
      <w:r w:rsidR="008B21C0">
        <w:t xml:space="preserve">indésirables </w:t>
      </w:r>
      <w:r>
        <w:t>fréquents (susceptibles de concerner jusqu’à 1</w:t>
      </w:r>
      <w:r w:rsidR="008B21C0">
        <w:t> </w:t>
      </w:r>
      <w:r>
        <w:t xml:space="preserve">personne sur </w:t>
      </w:r>
      <w:r w:rsidR="008177C0">
        <w:t>10</w:t>
      </w:r>
      <w:r>
        <w:t>)</w:t>
      </w:r>
    </w:p>
    <w:p w14:paraId="7533411B" w14:textId="09527DA4" w:rsidR="009C5AEA" w:rsidRDefault="00103D1D" w:rsidP="00DE78B3">
      <w:pPr>
        <w:pStyle w:val="Bullet"/>
        <w:tabs>
          <w:tab w:val="left" w:pos="1134"/>
        </w:tabs>
        <w:ind w:left="1134"/>
      </w:pPr>
      <w:proofErr w:type="gramStart"/>
      <w:r>
        <w:t>d</w:t>
      </w:r>
      <w:r w:rsidR="00F52356">
        <w:t>iarrhée</w:t>
      </w:r>
      <w:proofErr w:type="gramEnd"/>
    </w:p>
    <w:p w14:paraId="4A559A79" w14:textId="77777777" w:rsidR="009C5AEA" w:rsidRDefault="009C5AEA" w:rsidP="00DE78B3"/>
    <w:p w14:paraId="511402ED" w14:textId="79427100" w:rsidR="009C5AEA" w:rsidRDefault="00F52356" w:rsidP="00DE78B3">
      <w:pPr>
        <w:keepNext/>
      </w:pPr>
      <w:r>
        <w:t xml:space="preserve">Effets </w:t>
      </w:r>
      <w:r w:rsidR="008B21C0">
        <w:t xml:space="preserve">indésirables </w:t>
      </w:r>
      <w:r>
        <w:t>peu fréquents (susceptibles de concerner jusqu’à 1</w:t>
      </w:r>
      <w:r w:rsidR="008B21C0">
        <w:t> </w:t>
      </w:r>
      <w:r>
        <w:t xml:space="preserve">personne sur </w:t>
      </w:r>
      <w:r w:rsidR="00EF789A">
        <w:t>100</w:t>
      </w:r>
      <w:r>
        <w:t>)</w:t>
      </w:r>
    </w:p>
    <w:p w14:paraId="7EFC307C" w14:textId="77777777" w:rsidR="008B21C0" w:rsidRDefault="008B21C0" w:rsidP="00DE78B3">
      <w:pPr>
        <w:pStyle w:val="Bullet"/>
        <w:tabs>
          <w:tab w:val="left" w:pos="1134"/>
        </w:tabs>
        <w:ind w:left="1134"/>
      </w:pPr>
      <w:proofErr w:type="gramStart"/>
      <w:r>
        <w:t>fièvre</w:t>
      </w:r>
      <w:proofErr w:type="gramEnd"/>
    </w:p>
    <w:p w14:paraId="7A955F6B" w14:textId="77777777" w:rsidR="008B21C0" w:rsidRDefault="008B21C0" w:rsidP="00DE78B3">
      <w:pPr>
        <w:pStyle w:val="Bullet"/>
        <w:tabs>
          <w:tab w:val="left" w:pos="1134"/>
        </w:tabs>
        <w:ind w:left="1134"/>
      </w:pPr>
      <w:proofErr w:type="gramStart"/>
      <w:r>
        <w:t>douleur</w:t>
      </w:r>
      <w:proofErr w:type="gramEnd"/>
      <w:r>
        <w:t xml:space="preserve"> articulaire</w:t>
      </w:r>
    </w:p>
    <w:p w14:paraId="4297BD65" w14:textId="77777777" w:rsidR="008B21C0" w:rsidRDefault="008B21C0" w:rsidP="00DE78B3">
      <w:pPr>
        <w:pStyle w:val="Bullet"/>
        <w:tabs>
          <w:tab w:val="left" w:pos="1134"/>
        </w:tabs>
        <w:ind w:left="1134"/>
      </w:pPr>
      <w:proofErr w:type="gramStart"/>
      <w:r>
        <w:t>sensation</w:t>
      </w:r>
      <w:proofErr w:type="gramEnd"/>
      <w:r>
        <w:t xml:space="preserve"> vertigineuse</w:t>
      </w:r>
    </w:p>
    <w:p w14:paraId="4F934D99" w14:textId="77777777" w:rsidR="008B21C0" w:rsidRDefault="008B21C0" w:rsidP="00DE78B3">
      <w:pPr>
        <w:pStyle w:val="Bullet"/>
        <w:tabs>
          <w:tab w:val="left" w:pos="1134"/>
        </w:tabs>
        <w:ind w:left="1134"/>
      </w:pPr>
      <w:proofErr w:type="gramStart"/>
      <w:r>
        <w:t>ballonnements</w:t>
      </w:r>
      <w:proofErr w:type="gramEnd"/>
      <w:r>
        <w:t xml:space="preserve"> (distension abdominale)</w:t>
      </w:r>
    </w:p>
    <w:p w14:paraId="40F21162" w14:textId="77777777" w:rsidR="008B21C0" w:rsidRDefault="008B21C0" w:rsidP="00DE78B3">
      <w:pPr>
        <w:pStyle w:val="Bullet"/>
        <w:tabs>
          <w:tab w:val="left" w:pos="1134"/>
        </w:tabs>
        <w:ind w:left="1134"/>
      </w:pPr>
      <w:proofErr w:type="gramStart"/>
      <w:r>
        <w:t>éruption</w:t>
      </w:r>
      <w:proofErr w:type="gramEnd"/>
      <w:r>
        <w:t xml:space="preserve"> cutanée</w:t>
      </w:r>
    </w:p>
    <w:p w14:paraId="65EBB823" w14:textId="77777777" w:rsidR="008B21C0" w:rsidRDefault="008B21C0" w:rsidP="00DE78B3">
      <w:pPr>
        <w:pStyle w:val="Bullet"/>
        <w:tabs>
          <w:tab w:val="left" w:pos="1134"/>
        </w:tabs>
        <w:ind w:left="1134"/>
      </w:pPr>
      <w:proofErr w:type="gramStart"/>
      <w:r>
        <w:t>bouche</w:t>
      </w:r>
      <w:proofErr w:type="gramEnd"/>
      <w:r>
        <w:t xml:space="preserve"> sèche</w:t>
      </w:r>
    </w:p>
    <w:p w14:paraId="2DB6B665" w14:textId="77777777" w:rsidR="008B21C0" w:rsidRDefault="008B21C0" w:rsidP="00DE78B3">
      <w:pPr>
        <w:pStyle w:val="Bullet"/>
        <w:tabs>
          <w:tab w:val="left" w:pos="1134"/>
        </w:tabs>
        <w:ind w:left="1134"/>
      </w:pPr>
      <w:proofErr w:type="gramStart"/>
      <w:r>
        <w:t>constipation</w:t>
      </w:r>
      <w:proofErr w:type="gramEnd"/>
    </w:p>
    <w:p w14:paraId="07C11851" w14:textId="04F5F8AD" w:rsidR="009C5AEA" w:rsidRDefault="00103D1D" w:rsidP="00DE78B3">
      <w:pPr>
        <w:pStyle w:val="Bullet"/>
        <w:tabs>
          <w:tab w:val="left" w:pos="1134"/>
        </w:tabs>
        <w:ind w:left="1134"/>
      </w:pPr>
      <w:proofErr w:type="gramStart"/>
      <w:r>
        <w:t>f</w:t>
      </w:r>
      <w:r w:rsidR="00F52356">
        <w:t>latulences</w:t>
      </w:r>
      <w:proofErr w:type="gramEnd"/>
    </w:p>
    <w:p w14:paraId="0B1BAD8C" w14:textId="77777777" w:rsidR="008B21C0" w:rsidRDefault="008B21C0" w:rsidP="00DE78B3">
      <w:pPr>
        <w:pStyle w:val="Bullet"/>
        <w:tabs>
          <w:tab w:val="left" w:pos="1134"/>
        </w:tabs>
        <w:ind w:left="1134"/>
      </w:pPr>
      <w:proofErr w:type="gramStart"/>
      <w:r>
        <w:t>éructation</w:t>
      </w:r>
      <w:proofErr w:type="gramEnd"/>
    </w:p>
    <w:p w14:paraId="62F3C44D" w14:textId="5D5D9926" w:rsidR="009C5AEA" w:rsidRDefault="00103D1D" w:rsidP="00DE78B3">
      <w:pPr>
        <w:pStyle w:val="Bullet"/>
        <w:tabs>
          <w:tab w:val="left" w:pos="1134"/>
        </w:tabs>
        <w:ind w:left="1134"/>
      </w:pPr>
      <w:proofErr w:type="gramStart"/>
      <w:r>
        <w:t>i</w:t>
      </w:r>
      <w:r w:rsidR="00F52356">
        <w:t>ndigestion</w:t>
      </w:r>
      <w:proofErr w:type="gramEnd"/>
    </w:p>
    <w:p w14:paraId="3CBE9E7B" w14:textId="6AC92AE8" w:rsidR="009C5AEA" w:rsidRDefault="00103D1D" w:rsidP="00DE78B3">
      <w:pPr>
        <w:pStyle w:val="Bullet"/>
        <w:tabs>
          <w:tab w:val="left" w:pos="1134"/>
        </w:tabs>
        <w:ind w:left="1134"/>
      </w:pPr>
      <w:proofErr w:type="gramStart"/>
      <w:r>
        <w:t>s</w:t>
      </w:r>
      <w:r w:rsidR="00F52356">
        <w:t>elles</w:t>
      </w:r>
      <w:proofErr w:type="gramEnd"/>
      <w:r w:rsidR="00F52356">
        <w:t xml:space="preserve"> anormales</w:t>
      </w:r>
    </w:p>
    <w:p w14:paraId="60AD7224" w14:textId="77777777" w:rsidR="009C5AEA" w:rsidRDefault="009C5AEA" w:rsidP="00DE78B3"/>
    <w:p w14:paraId="7900C875" w14:textId="5FF46AB9" w:rsidR="009C5AEA" w:rsidRDefault="00F52356" w:rsidP="00DE78B3">
      <w:pPr>
        <w:keepNext/>
      </w:pPr>
      <w:r>
        <w:t>Effets indésirables rares (susceptibles de concerner jusqu’à 1</w:t>
      </w:r>
      <w:r w:rsidR="00DD2DCC">
        <w:t> </w:t>
      </w:r>
      <w:r>
        <w:t xml:space="preserve">personne sur </w:t>
      </w:r>
      <w:r w:rsidR="008177C0">
        <w:t>1</w:t>
      </w:r>
      <w:r>
        <w:t> 000)</w:t>
      </w:r>
    </w:p>
    <w:p w14:paraId="2E173A99" w14:textId="3EAF11D3" w:rsidR="009C5AEA" w:rsidRDefault="00103D1D" w:rsidP="00DE78B3">
      <w:pPr>
        <w:pStyle w:val="Bullet"/>
        <w:tabs>
          <w:tab w:val="left" w:pos="1134"/>
        </w:tabs>
        <w:ind w:left="1134"/>
      </w:pPr>
      <w:proofErr w:type="gramStart"/>
      <w:r>
        <w:t>f</w:t>
      </w:r>
      <w:r w:rsidR="00F52356">
        <w:t>rissons</w:t>
      </w:r>
      <w:proofErr w:type="gramEnd"/>
      <w:r w:rsidR="00D112FA">
        <w:t>.</w:t>
      </w:r>
    </w:p>
    <w:p w14:paraId="4C2FD06E" w14:textId="77777777" w:rsidR="009C5AEA" w:rsidRDefault="009C5AEA" w:rsidP="00DE78B3"/>
    <w:p w14:paraId="65F56193" w14:textId="5C41E2A7" w:rsidR="00DD2DCC" w:rsidRDefault="00DD2DCC" w:rsidP="00DE78B3">
      <w:r>
        <w:rPr>
          <w:u w:val="single"/>
        </w:rPr>
        <w:t>Effets indésirables supplémentaires chez les enfants et les adolescents</w:t>
      </w:r>
    </w:p>
    <w:p w14:paraId="45A7235A" w14:textId="2E4DABAB" w:rsidR="00DD2DCC" w:rsidRPr="00DD2DCC" w:rsidRDefault="00DD2DCC" w:rsidP="00DE78B3">
      <w:r>
        <w:t>D’après les essais cliniques, les types d’effets indésirables observés chez les enfants devraient être comparables à ceux des adultes. Certains effets indésirables ont été plus fréquents chez les enfants que chez les adultes, notamment la fatigue, les maux d’estomac, les vomissements, la diminution de l’appétit et la fièvre.</w:t>
      </w:r>
    </w:p>
    <w:p w14:paraId="2AC21DCB" w14:textId="77777777" w:rsidR="00DD2DCC" w:rsidRDefault="00DD2DCC" w:rsidP="00DE78B3"/>
    <w:p w14:paraId="615BE56C" w14:textId="77777777" w:rsidR="009C5AEA" w:rsidRDefault="00F52356" w:rsidP="00DE78B3">
      <w:pPr>
        <w:pStyle w:val="HeadingStrong"/>
      </w:pPr>
      <w:r>
        <w:t>Déclaration des effets secondaires</w:t>
      </w:r>
    </w:p>
    <w:p w14:paraId="4DEB279F" w14:textId="77777777" w:rsidR="00B92EC5" w:rsidRDefault="00F52356" w:rsidP="00B92EC5">
      <w:r>
        <w:t>Si vous ressentez un quelconque effet indésirable, parlez-en à votre médecin, votre pharmacien ou à votre infirmier</w:t>
      </w:r>
      <w:r w:rsidR="00A43F48">
        <w:t>/ère</w:t>
      </w:r>
      <w:r>
        <w:t xml:space="preserve">. Ceci s’applique aussi à tout effet indésirable qui ne serait pas mentionné dans cette notice. Vous pouvez également déclarer les effets indésirables directement via </w:t>
      </w:r>
      <w:r w:rsidR="00B92EC5">
        <w:t xml:space="preserve">l’Agence nationale de </w:t>
      </w:r>
    </w:p>
    <w:p w14:paraId="515BD60D" w14:textId="77777777" w:rsidR="00B92EC5" w:rsidRDefault="00B92EC5" w:rsidP="00B92EC5">
      <w:proofErr w:type="gramStart"/>
      <w:r>
        <w:t>sécurité</w:t>
      </w:r>
      <w:proofErr w:type="gramEnd"/>
      <w:r>
        <w:t xml:space="preserve"> du médicament et des produits de santé (ANSM) et réseau des Centres Régionaux de </w:t>
      </w:r>
    </w:p>
    <w:p w14:paraId="1D7D5BCB" w14:textId="2A2F3BFA" w:rsidR="009C5AEA" w:rsidRDefault="00B92EC5" w:rsidP="00B92EC5">
      <w:r>
        <w:t xml:space="preserve">Pharmacovigilance, Site </w:t>
      </w:r>
      <w:proofErr w:type="gramStart"/>
      <w:r>
        <w:t>internet:</w:t>
      </w:r>
      <w:proofErr w:type="gramEnd"/>
      <w:r>
        <w:t xml:space="preserve"> </w:t>
      </w:r>
      <w:hyperlink r:id="rId26" w:history="1">
        <w:r w:rsidRPr="00D613D6">
          <w:rPr>
            <w:rStyle w:val="Hyperlink"/>
          </w:rPr>
          <w:t>https://signalement.social-sante.gouv.fr/</w:t>
        </w:r>
      </w:hyperlink>
      <w:r>
        <w:t>.</w:t>
      </w:r>
      <w:r w:rsidR="00F52356">
        <w:t xml:space="preserve"> En signalant les effets indésirables, vous contribuez à fournir davantage d’informations sur la sécurité du médicament.</w:t>
      </w:r>
    </w:p>
    <w:p w14:paraId="6D374260" w14:textId="77777777" w:rsidR="009C5AEA" w:rsidRDefault="009C5AEA" w:rsidP="00DE78B3"/>
    <w:p w14:paraId="7BFA4F96" w14:textId="77777777" w:rsidR="009C5AEA" w:rsidRDefault="009C5AEA" w:rsidP="00DE78B3"/>
    <w:p w14:paraId="4CCC314A" w14:textId="693824A0" w:rsidR="009C5AEA" w:rsidRPr="00903F7D" w:rsidRDefault="00F52356" w:rsidP="00903F7D">
      <w:pPr>
        <w:rPr>
          <w:b/>
          <w:bCs/>
        </w:rPr>
      </w:pPr>
      <w:r w:rsidRPr="009135CD">
        <w:rPr>
          <w:b/>
          <w:bCs/>
          <w:color w:val="FFFFFF" w:themeColor="background1"/>
          <w:highlight w:val="black"/>
        </w:rPr>
        <w:t>5.</w:t>
      </w:r>
      <w:r w:rsidRPr="009135CD">
        <w:rPr>
          <w:b/>
          <w:bCs/>
          <w:color w:val="FFFFFF" w:themeColor="background1"/>
          <w:highlight w:val="black"/>
        </w:rPr>
        <w:tab/>
        <w:t>Comment conserver Vaxchora</w:t>
      </w:r>
    </w:p>
    <w:p w14:paraId="508BD134" w14:textId="77777777" w:rsidR="009C5AEA" w:rsidRDefault="009C5AEA" w:rsidP="00DE78B3">
      <w:pPr>
        <w:keepNext/>
      </w:pPr>
    </w:p>
    <w:p w14:paraId="1EE59242" w14:textId="29E20424" w:rsidR="009C5AEA" w:rsidRDefault="00103D1D" w:rsidP="00DE78B3">
      <w:r>
        <w:t>T</w:t>
      </w:r>
      <w:r w:rsidR="00F52356">
        <w:t>enir ce vaccin hors de la vue et de la portée des enfants.</w:t>
      </w:r>
    </w:p>
    <w:p w14:paraId="6828A3B3" w14:textId="77777777" w:rsidR="009C5AEA" w:rsidRDefault="009C5AEA" w:rsidP="00DE78B3"/>
    <w:p w14:paraId="7A1CECEE" w14:textId="40ED5D7F" w:rsidR="009C5AEA" w:rsidRDefault="00F52356" w:rsidP="00DE78B3">
      <w:r>
        <w:t xml:space="preserve">N’utilisez pas </w:t>
      </w:r>
      <w:r w:rsidR="00A43F48">
        <w:t>c</w:t>
      </w:r>
      <w:r>
        <w:t xml:space="preserve">e vaccin après la date de péremption indiquée sur </w:t>
      </w:r>
      <w:r w:rsidR="00A43F48">
        <w:t>l’emballage</w:t>
      </w:r>
      <w:r>
        <w:t xml:space="preserve">. La date de péremption fait référence au dernier jour </w:t>
      </w:r>
      <w:r w:rsidR="00A43F48">
        <w:t>de ce</w:t>
      </w:r>
      <w:r>
        <w:t xml:space="preserve"> mois.</w:t>
      </w:r>
    </w:p>
    <w:p w14:paraId="42BA5DAC" w14:textId="77777777" w:rsidR="009C5AEA" w:rsidRDefault="009C5AEA" w:rsidP="00DE78B3"/>
    <w:p w14:paraId="02A86907" w14:textId="5DD89309" w:rsidR="009C5AEA" w:rsidRDefault="00A43F48" w:rsidP="00DE78B3">
      <w:r>
        <w:t>À c</w:t>
      </w:r>
      <w:r w:rsidR="00F52356">
        <w:t>onserver au réfrigérateur (</w:t>
      </w:r>
      <w:r>
        <w:t xml:space="preserve">entre </w:t>
      </w:r>
      <w:r w:rsidR="00F52356">
        <w:t>2</w:t>
      </w:r>
      <w:r>
        <w:t> </w:t>
      </w:r>
      <w:r w:rsidR="00F52356">
        <w:t xml:space="preserve">°C </w:t>
      </w:r>
      <w:r>
        <w:t xml:space="preserve">et </w:t>
      </w:r>
      <w:r w:rsidR="00F52356">
        <w:t>8</w:t>
      </w:r>
      <w:r>
        <w:t> </w:t>
      </w:r>
      <w:r w:rsidR="00F52356">
        <w:t>°C).</w:t>
      </w:r>
    </w:p>
    <w:p w14:paraId="11D1E758" w14:textId="6702AA43" w:rsidR="009C5AEA" w:rsidRDefault="00F52356" w:rsidP="00DE78B3">
      <w:r>
        <w:lastRenderedPageBreak/>
        <w:t>À conserver dans l’emballage d’origine</w:t>
      </w:r>
      <w:r w:rsidR="00A43F48">
        <w:t>, à l’abri de la lumière et de l’humidité</w:t>
      </w:r>
      <w:r>
        <w:t>.</w:t>
      </w:r>
    </w:p>
    <w:p w14:paraId="3CA4DE7B" w14:textId="588D9E74" w:rsidR="009C5AEA" w:rsidRDefault="00F52356" w:rsidP="00DE78B3">
      <w:r>
        <w:t xml:space="preserve">Dans son emballage d’origine, </w:t>
      </w:r>
      <w:r w:rsidR="00A43F48">
        <w:t xml:space="preserve">le vaccin </w:t>
      </w:r>
      <w:r>
        <w:t>est stable pendant une durée maximale de 12 heures à 25</w:t>
      </w:r>
      <w:r w:rsidR="00A43F48">
        <w:t> </w:t>
      </w:r>
      <w:r>
        <w:t xml:space="preserve">°C. </w:t>
      </w:r>
      <w:r w:rsidR="00A43F48">
        <w:t xml:space="preserve">À l’issue de cette période, le vaccin doit être utilisé immédiatement ou éliminé. </w:t>
      </w:r>
      <w:r>
        <w:t>Évitez d’exposer Vaxchora à des températures dépassant 25</w:t>
      </w:r>
      <w:r w:rsidR="00A43F48">
        <w:t> </w:t>
      </w:r>
      <w:r>
        <w:t>°C.</w:t>
      </w:r>
    </w:p>
    <w:p w14:paraId="1BF7F86A" w14:textId="77777777" w:rsidR="009C5AEA" w:rsidRDefault="009C5AEA" w:rsidP="00DE78B3"/>
    <w:p w14:paraId="1301CB49" w14:textId="77777777" w:rsidR="009C5AEA" w:rsidRDefault="00F52356" w:rsidP="00DE78B3">
      <w:r>
        <w:t>N’utilisez pas ce vaccin si vous remarquez que les sachets sont endommagés. Contactez votre médecin, pharmacien ou infirmier/ère pour obtenir une dose de remplacement.</w:t>
      </w:r>
    </w:p>
    <w:p w14:paraId="46E05BA7" w14:textId="77777777" w:rsidR="009C5AEA" w:rsidRDefault="009C5AEA" w:rsidP="00DE78B3"/>
    <w:p w14:paraId="2828EEFC" w14:textId="77777777" w:rsidR="009C5AEA" w:rsidRDefault="00F52356" w:rsidP="00DE78B3">
      <w:r>
        <w:t>Ce médicament contient des organismes génétiquement modifiés (OGM). Suivez les directives en vigueur à l’échelle locale en matière de biosécurité concernant les médicaments non utilisés ou les déchets. Demandez à votre médecin, pharmacien ou infirmier/ère d’éliminer les médicaments que vous n’utilisez plus ou les déchets.</w:t>
      </w:r>
    </w:p>
    <w:p w14:paraId="456500CE" w14:textId="77777777" w:rsidR="009C5AEA" w:rsidRDefault="009C5AEA" w:rsidP="00DE78B3"/>
    <w:p w14:paraId="4EDCAEB5" w14:textId="77777777" w:rsidR="009C5AEA" w:rsidRDefault="009C5AEA" w:rsidP="00DE78B3"/>
    <w:p w14:paraId="032747B9" w14:textId="77777777" w:rsidR="009C5AEA" w:rsidRPr="009135CD" w:rsidRDefault="00F52356" w:rsidP="00903F7D">
      <w:pPr>
        <w:rPr>
          <w:b/>
          <w:bCs/>
          <w:color w:val="FFFFFF" w:themeColor="background1"/>
          <w:highlight w:val="black"/>
        </w:rPr>
      </w:pPr>
      <w:r w:rsidRPr="009135CD">
        <w:rPr>
          <w:b/>
          <w:bCs/>
          <w:color w:val="FFFFFF" w:themeColor="background1"/>
          <w:highlight w:val="black"/>
        </w:rPr>
        <w:t>6.</w:t>
      </w:r>
      <w:r w:rsidRPr="009135CD">
        <w:rPr>
          <w:b/>
          <w:bCs/>
          <w:color w:val="FFFFFF" w:themeColor="background1"/>
          <w:highlight w:val="black"/>
        </w:rPr>
        <w:tab/>
        <w:t>Contenu de l’emballage et autres informations</w:t>
      </w:r>
    </w:p>
    <w:p w14:paraId="14F74240" w14:textId="77777777" w:rsidR="009C5AEA" w:rsidRDefault="009C5AEA" w:rsidP="00DE78B3">
      <w:pPr>
        <w:keepNext/>
      </w:pPr>
    </w:p>
    <w:p w14:paraId="6CB55403" w14:textId="77777777" w:rsidR="009C5AEA" w:rsidRDefault="00F52356" w:rsidP="00DE78B3">
      <w:pPr>
        <w:pStyle w:val="HeadingStrong"/>
      </w:pPr>
      <w:r>
        <w:t>Ce que contient Vaxchora</w:t>
      </w:r>
    </w:p>
    <w:p w14:paraId="0364E1DE" w14:textId="56E12EF5" w:rsidR="009C5AEA" w:rsidRDefault="00F52356" w:rsidP="00DE78B3">
      <w:pPr>
        <w:pStyle w:val="Bullet-"/>
      </w:pPr>
      <w:r>
        <w:t>Chaque dose contient 4 ×</w:t>
      </w:r>
      <w:r w:rsidR="00A3285B">
        <w:t> </w:t>
      </w:r>
      <w:r>
        <w:t>10</w:t>
      </w:r>
      <w:r>
        <w:rPr>
          <w:rStyle w:val="Superscript"/>
        </w:rPr>
        <w:t>8</w:t>
      </w:r>
      <w:r>
        <w:t xml:space="preserve"> à 2 ×</w:t>
      </w:r>
      <w:r w:rsidR="00A3285B">
        <w:t> </w:t>
      </w:r>
      <w:r>
        <w:t>10</w:t>
      </w:r>
      <w:r>
        <w:rPr>
          <w:rStyle w:val="Superscript"/>
        </w:rPr>
        <w:t>9</w:t>
      </w:r>
      <w:r w:rsidR="001408F7">
        <w:t> </w:t>
      </w:r>
      <w:r>
        <w:t xml:space="preserve">cellules viables de la souche CVD 103-HgR de </w:t>
      </w:r>
      <w:r>
        <w:rPr>
          <w:rStyle w:val="Emphasis"/>
        </w:rPr>
        <w:t>V</w:t>
      </w:r>
      <w:r w:rsidR="00A43F48">
        <w:rPr>
          <w:rStyle w:val="Emphasis"/>
        </w:rPr>
        <w:t>ibrio</w:t>
      </w:r>
      <w:r>
        <w:t> </w:t>
      </w:r>
      <w:r>
        <w:rPr>
          <w:rStyle w:val="Emphasis"/>
        </w:rPr>
        <w:t>cholerae</w:t>
      </w:r>
      <w:r w:rsidR="00A43F48">
        <w:rPr>
          <w:rStyle w:val="Emphasis"/>
          <w:i w:val="0"/>
          <w:iCs w:val="0"/>
          <w:vertAlign w:val="superscript"/>
        </w:rPr>
        <w:t>1</w:t>
      </w:r>
      <w:r>
        <w:t>.</w:t>
      </w:r>
    </w:p>
    <w:p w14:paraId="5039AEFB" w14:textId="7E423EAC" w:rsidR="009C5AEA" w:rsidRDefault="00F52356" w:rsidP="00DE78B3">
      <w:pPr>
        <w:pStyle w:val="Bullet-"/>
      </w:pPr>
      <w:r>
        <w:t>Les autres composants sont</w:t>
      </w:r>
      <w:r w:rsidR="00103D1D">
        <w:t> :</w:t>
      </w:r>
      <w:r>
        <w:t xml:space="preserve"> saccharose, caséine hydrolysée, acide ascorbique, lactose, bicarbonate de sodium et carbonate de sodium</w:t>
      </w:r>
      <w:r w:rsidR="00A43F48">
        <w:t xml:space="preserve"> (voir rubrique 2, « Vaxchora contient du lactose, du saccharose et du sodium »)</w:t>
      </w:r>
      <w:r>
        <w:t>.</w:t>
      </w:r>
    </w:p>
    <w:p w14:paraId="4FFAA8E7" w14:textId="77777777" w:rsidR="009C5AEA" w:rsidRDefault="00F52356" w:rsidP="00DE78B3">
      <w:pPr>
        <w:pStyle w:val="Bullet-"/>
      </w:pPr>
      <w:r>
        <w:t>Ce vaccin contient des organismes génétiquement modifiés (OGM).</w:t>
      </w:r>
    </w:p>
    <w:p w14:paraId="5E2E77F7" w14:textId="77777777" w:rsidR="009C5AEA" w:rsidRDefault="009C5AEA" w:rsidP="00DE78B3"/>
    <w:p w14:paraId="328DBE1A" w14:textId="25D3C5BD" w:rsidR="00A43F48" w:rsidRPr="00A43F48" w:rsidRDefault="00A43F48" w:rsidP="00DE78B3">
      <w:r>
        <w:rPr>
          <w:vertAlign w:val="superscript"/>
        </w:rPr>
        <w:t>1</w:t>
      </w:r>
      <w:r>
        <w:t xml:space="preserve"> Produite par une technologie d’ADN recombiné.</w:t>
      </w:r>
    </w:p>
    <w:p w14:paraId="622EE23E" w14:textId="77777777" w:rsidR="00A43F48" w:rsidRDefault="00A43F48" w:rsidP="00DE78B3"/>
    <w:p w14:paraId="37BD1499" w14:textId="77777777" w:rsidR="009C5AEA" w:rsidRDefault="00F52356" w:rsidP="00DE78B3">
      <w:pPr>
        <w:pStyle w:val="HeadingStrong"/>
      </w:pPr>
      <w:r>
        <w:t>Comment se présente Vaxchora et contenu de l’emballage extérieur</w:t>
      </w:r>
    </w:p>
    <w:p w14:paraId="6BCC1190" w14:textId="0760D722" w:rsidR="009C5AEA" w:rsidRDefault="00A43F48" w:rsidP="00DE78B3">
      <w:r>
        <w:t xml:space="preserve">L’emballage contient une dose de Vaxchora, </w:t>
      </w:r>
      <w:r w:rsidR="00941463">
        <w:t xml:space="preserve">sous forme de </w:t>
      </w:r>
      <w:r>
        <w:t xml:space="preserve">poudre effervescente et </w:t>
      </w:r>
      <w:r w:rsidR="00941463">
        <w:t xml:space="preserve">de </w:t>
      </w:r>
      <w:r>
        <w:t xml:space="preserve">poudre pour suspension buvable, </w:t>
      </w:r>
      <w:r w:rsidR="00941463">
        <w:t xml:space="preserve">contenues </w:t>
      </w:r>
      <w:r>
        <w:t xml:space="preserve">dans </w:t>
      </w:r>
      <w:r w:rsidR="00F52356">
        <w:t>deux sachets. L’un des sachets contient une solution tampon d</w:t>
      </w:r>
      <w:r w:rsidR="008F449B">
        <w:t>e bi</w:t>
      </w:r>
      <w:r w:rsidR="00F52356">
        <w:t xml:space="preserve">carbonate de sodium sous forme de poudre effervescente de couleur blanche à blanc cassé. L’autre sachet contient le principe actif du vaccin sous forme de poudre </w:t>
      </w:r>
      <w:r>
        <w:t xml:space="preserve">pour suspension buvable </w:t>
      </w:r>
      <w:r w:rsidR="00F52356">
        <w:t>de couleur blanche à beige.</w:t>
      </w:r>
    </w:p>
    <w:p w14:paraId="0ECAB54E" w14:textId="77777777" w:rsidR="009C5AEA" w:rsidRDefault="009C5AEA" w:rsidP="00DE78B3"/>
    <w:p w14:paraId="119A2BB5" w14:textId="2929D5AC" w:rsidR="009C5AEA" w:rsidRDefault="00F52356" w:rsidP="00DE78B3">
      <w:pPr>
        <w:pStyle w:val="HeadingStrong"/>
      </w:pPr>
      <w:r>
        <w:t>Titulaire de l’</w:t>
      </w:r>
      <w:r w:rsidR="00941463">
        <w:t>A</w:t>
      </w:r>
      <w:r>
        <w:t>utorisation de mise sur le marché</w:t>
      </w:r>
    </w:p>
    <w:p w14:paraId="628B8556" w14:textId="77777777" w:rsidR="009C5AEA" w:rsidRDefault="009C5AEA" w:rsidP="00DE78B3">
      <w:pPr>
        <w:keepNext/>
      </w:pPr>
    </w:p>
    <w:p w14:paraId="34B0DAF5" w14:textId="77777777" w:rsidR="00CB52BE" w:rsidRPr="00CB52BE" w:rsidRDefault="00CB52BE" w:rsidP="00DE78B3">
      <w:pPr>
        <w:rPr>
          <w:lang w:val="en-US"/>
        </w:rPr>
      </w:pPr>
      <w:r w:rsidRPr="00CB52BE">
        <w:rPr>
          <w:lang w:val="en-US"/>
        </w:rPr>
        <w:t>Bavarian Nordic A/S</w:t>
      </w:r>
    </w:p>
    <w:p w14:paraId="7FCCB308" w14:textId="77777777" w:rsidR="00CB52BE" w:rsidRPr="00CB52BE" w:rsidRDefault="00CB52BE" w:rsidP="00DE78B3">
      <w:pPr>
        <w:rPr>
          <w:lang w:val="en-US"/>
        </w:rPr>
      </w:pPr>
      <w:r w:rsidRPr="00CB52BE">
        <w:rPr>
          <w:lang w:val="en-US"/>
        </w:rPr>
        <w:t>Philip Heymans Alle 3</w:t>
      </w:r>
    </w:p>
    <w:p w14:paraId="6AFD256D" w14:textId="77777777" w:rsidR="00CB52BE" w:rsidRDefault="00CB52BE" w:rsidP="00DE78B3">
      <w:r>
        <w:t xml:space="preserve">DK-2900 </w:t>
      </w:r>
      <w:proofErr w:type="spellStart"/>
      <w:r>
        <w:t>Hellerup</w:t>
      </w:r>
      <w:proofErr w:type="spellEnd"/>
    </w:p>
    <w:p w14:paraId="61CF4651" w14:textId="19A5C9DA" w:rsidR="009C5AEA" w:rsidRDefault="00CB52BE" w:rsidP="00DE78B3">
      <w:r>
        <w:t>Danemark</w:t>
      </w:r>
    </w:p>
    <w:p w14:paraId="4F0316CB" w14:textId="77777777" w:rsidR="00941463" w:rsidRDefault="00941463" w:rsidP="00DE78B3"/>
    <w:p w14:paraId="67C97275" w14:textId="77777777" w:rsidR="009C5AEA" w:rsidRDefault="00F52356" w:rsidP="00DE78B3">
      <w:pPr>
        <w:pStyle w:val="HeadingStrong"/>
      </w:pPr>
      <w:r>
        <w:t>Fabricant</w:t>
      </w:r>
    </w:p>
    <w:p w14:paraId="3638D4F6" w14:textId="77777777" w:rsidR="009C5AEA" w:rsidRDefault="009C5AEA" w:rsidP="00DE78B3">
      <w:pPr>
        <w:keepNext/>
      </w:pPr>
    </w:p>
    <w:p w14:paraId="3D4EAEC5" w14:textId="77777777" w:rsidR="009C5AEA" w:rsidRDefault="00F52356" w:rsidP="00DE78B3">
      <w:r>
        <w:t xml:space="preserve">IL-CSM </w:t>
      </w:r>
      <w:proofErr w:type="spellStart"/>
      <w:r>
        <w:t>GmbH</w:t>
      </w:r>
      <w:proofErr w:type="spellEnd"/>
    </w:p>
    <w:p w14:paraId="0E938766" w14:textId="77777777" w:rsidR="009C5AEA" w:rsidRDefault="00F52356" w:rsidP="00DE78B3">
      <w:r>
        <w:t>Marie-Curie-Strasse 8</w:t>
      </w:r>
    </w:p>
    <w:p w14:paraId="4CBE00A3" w14:textId="77777777" w:rsidR="009C5AEA" w:rsidRPr="00F451F0" w:rsidRDefault="00F52356" w:rsidP="00DE78B3">
      <w:pPr>
        <w:rPr>
          <w:lang w:val="fr-CH"/>
        </w:rPr>
      </w:pPr>
      <w:r w:rsidRPr="00F451F0">
        <w:rPr>
          <w:lang w:val="fr-CH"/>
        </w:rPr>
        <w:t>D</w:t>
      </w:r>
      <w:r w:rsidRPr="00F451F0">
        <w:rPr>
          <w:lang w:val="fr-CH"/>
        </w:rPr>
        <w:noBreakHyphen/>
        <w:t>79539 Lörrach</w:t>
      </w:r>
    </w:p>
    <w:p w14:paraId="302B49FA" w14:textId="77777777" w:rsidR="009C5AEA" w:rsidRPr="00F451F0" w:rsidRDefault="00F52356" w:rsidP="00DE78B3">
      <w:pPr>
        <w:rPr>
          <w:lang w:val="fr-CH"/>
        </w:rPr>
      </w:pPr>
      <w:r w:rsidRPr="00F451F0">
        <w:rPr>
          <w:lang w:val="fr-CH"/>
        </w:rPr>
        <w:t>Allemagne</w:t>
      </w:r>
    </w:p>
    <w:p w14:paraId="5CCDAB8E" w14:textId="77777777" w:rsidR="009C5AEA" w:rsidRDefault="009C5AEA" w:rsidP="00DE78B3"/>
    <w:p w14:paraId="593B4658" w14:textId="3AC7D9E4" w:rsidR="009C5AEA" w:rsidRDefault="00F52356" w:rsidP="00DE78B3">
      <w:pPr>
        <w:pStyle w:val="HeadingStrong"/>
      </w:pPr>
      <w:r>
        <w:t xml:space="preserve">La dernière date à laquelle cette notice a été révisée est </w:t>
      </w:r>
      <w:r w:rsidR="00B92EC5">
        <w:t>0</w:t>
      </w:r>
      <w:r w:rsidR="00471998">
        <w:t>6</w:t>
      </w:r>
      <w:r w:rsidR="00B92EC5">
        <w:t>/2025</w:t>
      </w:r>
    </w:p>
    <w:p w14:paraId="52067D0D" w14:textId="77777777" w:rsidR="009C5AEA" w:rsidRDefault="009C5AEA" w:rsidP="00DE78B3"/>
    <w:p w14:paraId="5DF848D1" w14:textId="77777777" w:rsidR="009C5AEA" w:rsidRDefault="00F52356" w:rsidP="00DE78B3">
      <w:pPr>
        <w:pStyle w:val="HeadingStrong"/>
      </w:pPr>
      <w:r>
        <w:t>Autres sources d’informations</w:t>
      </w:r>
    </w:p>
    <w:p w14:paraId="190E65C0" w14:textId="77777777" w:rsidR="009C5AEA" w:rsidRDefault="009C5AEA" w:rsidP="00DE78B3"/>
    <w:p w14:paraId="586238D6" w14:textId="1DCC9F4F" w:rsidR="009C5AEA" w:rsidRDefault="00F52356" w:rsidP="00DE78B3">
      <w:r>
        <w:t xml:space="preserve">Des informations détaillées sur ce médicament sont disponibles sur le site internet de l’Agence européenne des médicaments </w:t>
      </w:r>
      <w:hyperlink r:id="rId27" w:history="1">
        <w:r w:rsidRPr="00511BE5">
          <w:rPr>
            <w:rStyle w:val="Lienhypertexte1"/>
          </w:rPr>
          <w:t>http</w:t>
        </w:r>
        <w:r w:rsidR="00941463">
          <w:rPr>
            <w:rStyle w:val="Lienhypertexte1"/>
          </w:rPr>
          <w:t>s</w:t>
        </w:r>
        <w:r w:rsidRPr="00511BE5">
          <w:rPr>
            <w:rStyle w:val="Lienhypertexte1"/>
          </w:rPr>
          <w:t>://www.ema.europa.eu</w:t>
        </w:r>
      </w:hyperlink>
      <w:r>
        <w:t>.</w:t>
      </w:r>
    </w:p>
    <w:p w14:paraId="4B2B4B86" w14:textId="77777777" w:rsidR="009C5AEA" w:rsidRDefault="009C5AEA" w:rsidP="00DE78B3"/>
    <w:p w14:paraId="56FD2F17" w14:textId="4E086647" w:rsidR="009C5AEA" w:rsidRDefault="009C5AEA" w:rsidP="00DE78B3"/>
    <w:sectPr w:rsidR="009C5AEA">
      <w:footerReference w:type="default" r:id="rId28"/>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A911" w14:textId="77777777" w:rsidR="004D1D2B" w:rsidRDefault="004D1D2B">
      <w:r>
        <w:separator/>
      </w:r>
    </w:p>
  </w:endnote>
  <w:endnote w:type="continuationSeparator" w:id="0">
    <w:p w14:paraId="20C2A367" w14:textId="77777777" w:rsidR="004D1D2B" w:rsidRDefault="004D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045B" w14:textId="77777777" w:rsidR="007B45F5" w:rsidRDefault="007B45F5">
    <w:pPr>
      <w:pStyle w:val="Footer"/>
    </w:pPr>
    <w:r>
      <w:fldChar w:fldCharType="begin"/>
    </w:r>
    <w:r>
      <w:instrText xml:space="preserve"> PAGE  \* Arabic  \* MERGEFORMAT </w:instrText>
    </w:r>
    <w:r>
      <w:fldChar w:fldCharType="separate"/>
    </w:r>
    <w:r w:rsidR="00172FF5">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1313" w14:textId="77777777" w:rsidR="004D1D2B" w:rsidRDefault="004D1D2B">
      <w:r>
        <w:separator/>
      </w:r>
    </w:p>
  </w:footnote>
  <w:footnote w:type="continuationSeparator" w:id="0">
    <w:p w14:paraId="6749E1C3" w14:textId="77777777" w:rsidR="004D1D2B" w:rsidRDefault="004D1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1681E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BD626E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666EE9E"/>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D105C2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F3D866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C6D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723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444B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C0AF3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CAA41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787D2B"/>
    <w:multiLevelType w:val="hybridMultilevel"/>
    <w:tmpl w:val="39141C4C"/>
    <w:lvl w:ilvl="0" w:tplc="F1D8AA6C">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E2311"/>
    <w:multiLevelType w:val="hybridMultilevel"/>
    <w:tmpl w:val="0C56C576"/>
    <w:lvl w:ilvl="0" w:tplc="EA80C11E">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1A3920"/>
    <w:multiLevelType w:val="hybridMultilevel"/>
    <w:tmpl w:val="31B09324"/>
    <w:lvl w:ilvl="0" w:tplc="040C0003">
      <w:start w:val="1"/>
      <w:numFmt w:val="bullet"/>
      <w:pStyle w:val="Bullet2"/>
      <w:lvlText w:val="o"/>
      <w:lvlJc w:val="left"/>
      <w:pPr>
        <w:ind w:left="1134" w:hanging="567"/>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35E86"/>
    <w:multiLevelType w:val="hybridMultilevel"/>
    <w:tmpl w:val="800A7FEC"/>
    <w:lvl w:ilvl="0" w:tplc="1BC2416C">
      <w:start w:val="1"/>
      <w:numFmt w:val="bullet"/>
      <w:lvlText w:val="-"/>
      <w:lvlJc w:val="left"/>
      <w:pPr>
        <w:ind w:left="562" w:hanging="562"/>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1C0327"/>
    <w:multiLevelType w:val="hybridMultilevel"/>
    <w:tmpl w:val="1EAC0D92"/>
    <w:lvl w:ilvl="0" w:tplc="9CFA9D1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448E4"/>
    <w:multiLevelType w:val="hybridMultilevel"/>
    <w:tmpl w:val="C42A378E"/>
    <w:lvl w:ilvl="0" w:tplc="040C0001">
      <w:start w:val="1"/>
      <w:numFmt w:val="bullet"/>
      <w:pStyle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D21D5"/>
    <w:multiLevelType w:val="hybridMultilevel"/>
    <w:tmpl w:val="6E62413C"/>
    <w:lvl w:ilvl="0" w:tplc="F342D858">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566C4"/>
    <w:multiLevelType w:val="hybridMultilevel"/>
    <w:tmpl w:val="9E04ABE4"/>
    <w:lvl w:ilvl="0" w:tplc="D23AACB6">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E5E88"/>
    <w:multiLevelType w:val="hybridMultilevel"/>
    <w:tmpl w:val="CA42EBD0"/>
    <w:lvl w:ilvl="0" w:tplc="A4F848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2927092">
    <w:abstractNumId w:val="14"/>
  </w:num>
  <w:num w:numId="2" w16cid:durableId="1272129568">
    <w:abstractNumId w:val="15"/>
  </w:num>
  <w:num w:numId="3" w16cid:durableId="1747874902">
    <w:abstractNumId w:val="18"/>
  </w:num>
  <w:num w:numId="4" w16cid:durableId="1281112446">
    <w:abstractNumId w:val="9"/>
  </w:num>
  <w:num w:numId="5" w16cid:durableId="1047295845">
    <w:abstractNumId w:val="7"/>
  </w:num>
  <w:num w:numId="6" w16cid:durableId="1183667948">
    <w:abstractNumId w:val="6"/>
  </w:num>
  <w:num w:numId="7" w16cid:durableId="1588614919">
    <w:abstractNumId w:val="5"/>
  </w:num>
  <w:num w:numId="8" w16cid:durableId="998270262">
    <w:abstractNumId w:val="4"/>
  </w:num>
  <w:num w:numId="9" w16cid:durableId="1943762805">
    <w:abstractNumId w:val="8"/>
  </w:num>
  <w:num w:numId="10" w16cid:durableId="1209491687">
    <w:abstractNumId w:val="3"/>
  </w:num>
  <w:num w:numId="11" w16cid:durableId="1411850645">
    <w:abstractNumId w:val="2"/>
  </w:num>
  <w:num w:numId="12" w16cid:durableId="1498422618">
    <w:abstractNumId w:val="1"/>
  </w:num>
  <w:num w:numId="13" w16cid:durableId="398330380">
    <w:abstractNumId w:val="0"/>
  </w:num>
  <w:num w:numId="14" w16cid:durableId="271792474">
    <w:abstractNumId w:val="18"/>
    <w:lvlOverride w:ilvl="0">
      <w:startOverride w:val="1"/>
    </w:lvlOverride>
  </w:num>
  <w:num w:numId="15" w16cid:durableId="1777600316">
    <w:abstractNumId w:val="15"/>
    <w:lvlOverride w:ilvl="0">
      <w:startOverride w:val="1"/>
    </w:lvlOverride>
  </w:num>
  <w:num w:numId="16" w16cid:durableId="1420831087">
    <w:abstractNumId w:val="17"/>
  </w:num>
  <w:num w:numId="17" w16cid:durableId="982660579">
    <w:abstractNumId w:val="16"/>
  </w:num>
  <w:num w:numId="18" w16cid:durableId="969818586">
    <w:abstractNumId w:val="12"/>
  </w:num>
  <w:num w:numId="19" w16cid:durableId="233663228">
    <w:abstractNumId w:val="12"/>
    <w:lvlOverride w:ilvl="0">
      <w:startOverride w:val="1"/>
    </w:lvlOverride>
  </w:num>
  <w:num w:numId="20" w16cid:durableId="454258508">
    <w:abstractNumId w:val="10"/>
  </w:num>
  <w:num w:numId="21" w16cid:durableId="214389834">
    <w:abstractNumId w:val="19"/>
  </w:num>
  <w:num w:numId="22" w16cid:durableId="1031110398">
    <w:abstractNumId w:val="13"/>
  </w:num>
  <w:num w:numId="23" w16cid:durableId="1180120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EA"/>
    <w:rsid w:val="00001BD9"/>
    <w:rsid w:val="00003CEC"/>
    <w:rsid w:val="0000733A"/>
    <w:rsid w:val="00020452"/>
    <w:rsid w:val="000205AA"/>
    <w:rsid w:val="00032763"/>
    <w:rsid w:val="00034DC9"/>
    <w:rsid w:val="000479A9"/>
    <w:rsid w:val="00066275"/>
    <w:rsid w:val="00072D5E"/>
    <w:rsid w:val="000733C3"/>
    <w:rsid w:val="00075816"/>
    <w:rsid w:val="00081F01"/>
    <w:rsid w:val="00096A6A"/>
    <w:rsid w:val="000A0EE4"/>
    <w:rsid w:val="000B05E3"/>
    <w:rsid w:val="000B716C"/>
    <w:rsid w:val="000C4F4B"/>
    <w:rsid w:val="000D4D30"/>
    <w:rsid w:val="000E48E0"/>
    <w:rsid w:val="000F4B59"/>
    <w:rsid w:val="00103D1D"/>
    <w:rsid w:val="001042E1"/>
    <w:rsid w:val="0010444C"/>
    <w:rsid w:val="0012139B"/>
    <w:rsid w:val="001408F7"/>
    <w:rsid w:val="001424F3"/>
    <w:rsid w:val="0014426B"/>
    <w:rsid w:val="00145377"/>
    <w:rsid w:val="0015117A"/>
    <w:rsid w:val="00153CD8"/>
    <w:rsid w:val="001546B6"/>
    <w:rsid w:val="001676E5"/>
    <w:rsid w:val="00172FF5"/>
    <w:rsid w:val="0017372E"/>
    <w:rsid w:val="00184644"/>
    <w:rsid w:val="001A3B7C"/>
    <w:rsid w:val="001B1324"/>
    <w:rsid w:val="001B79F7"/>
    <w:rsid w:val="001C6373"/>
    <w:rsid w:val="001E0CAE"/>
    <w:rsid w:val="001F1F29"/>
    <w:rsid w:val="001F2D73"/>
    <w:rsid w:val="001F7F9B"/>
    <w:rsid w:val="00200CE9"/>
    <w:rsid w:val="002116F7"/>
    <w:rsid w:val="002246EA"/>
    <w:rsid w:val="00225B13"/>
    <w:rsid w:val="00267D83"/>
    <w:rsid w:val="00292BFB"/>
    <w:rsid w:val="002A359D"/>
    <w:rsid w:val="002C7A4B"/>
    <w:rsid w:val="002E6647"/>
    <w:rsid w:val="002F6790"/>
    <w:rsid w:val="00301276"/>
    <w:rsid w:val="003148F2"/>
    <w:rsid w:val="00316676"/>
    <w:rsid w:val="003278BE"/>
    <w:rsid w:val="0033058B"/>
    <w:rsid w:val="003305DD"/>
    <w:rsid w:val="00335E01"/>
    <w:rsid w:val="0034457A"/>
    <w:rsid w:val="003479DF"/>
    <w:rsid w:val="00355DDD"/>
    <w:rsid w:val="00363230"/>
    <w:rsid w:val="003907DA"/>
    <w:rsid w:val="00396A1A"/>
    <w:rsid w:val="003A1023"/>
    <w:rsid w:val="003A2811"/>
    <w:rsid w:val="003B6775"/>
    <w:rsid w:val="003F2320"/>
    <w:rsid w:val="0040304E"/>
    <w:rsid w:val="0042235E"/>
    <w:rsid w:val="00425C8F"/>
    <w:rsid w:val="00471998"/>
    <w:rsid w:val="00474A2F"/>
    <w:rsid w:val="004944B2"/>
    <w:rsid w:val="004A1C86"/>
    <w:rsid w:val="004B333D"/>
    <w:rsid w:val="004B695C"/>
    <w:rsid w:val="004C14D9"/>
    <w:rsid w:val="004D1D2B"/>
    <w:rsid w:val="00501F37"/>
    <w:rsid w:val="00504BA7"/>
    <w:rsid w:val="00511BE5"/>
    <w:rsid w:val="00515D31"/>
    <w:rsid w:val="00522A81"/>
    <w:rsid w:val="0052551F"/>
    <w:rsid w:val="00537F68"/>
    <w:rsid w:val="00542CAF"/>
    <w:rsid w:val="005511E4"/>
    <w:rsid w:val="005613F3"/>
    <w:rsid w:val="00561569"/>
    <w:rsid w:val="00575159"/>
    <w:rsid w:val="00587F64"/>
    <w:rsid w:val="00592B46"/>
    <w:rsid w:val="005C0C51"/>
    <w:rsid w:val="005F0FB2"/>
    <w:rsid w:val="00604A2A"/>
    <w:rsid w:val="00636B30"/>
    <w:rsid w:val="00642D40"/>
    <w:rsid w:val="00651E12"/>
    <w:rsid w:val="00676D68"/>
    <w:rsid w:val="00686F88"/>
    <w:rsid w:val="006A6E30"/>
    <w:rsid w:val="006B0A1C"/>
    <w:rsid w:val="006B110B"/>
    <w:rsid w:val="006C2AEF"/>
    <w:rsid w:val="006C5FF7"/>
    <w:rsid w:val="006F778D"/>
    <w:rsid w:val="00702E5C"/>
    <w:rsid w:val="00705197"/>
    <w:rsid w:val="0071099C"/>
    <w:rsid w:val="00734033"/>
    <w:rsid w:val="00747A61"/>
    <w:rsid w:val="00747E3C"/>
    <w:rsid w:val="00753B04"/>
    <w:rsid w:val="007951CC"/>
    <w:rsid w:val="007953C3"/>
    <w:rsid w:val="00797A46"/>
    <w:rsid w:val="007B0A0A"/>
    <w:rsid w:val="007B45F5"/>
    <w:rsid w:val="007B57BC"/>
    <w:rsid w:val="007B740E"/>
    <w:rsid w:val="007E2F4A"/>
    <w:rsid w:val="007F134F"/>
    <w:rsid w:val="007F76B0"/>
    <w:rsid w:val="008019CE"/>
    <w:rsid w:val="00803C2A"/>
    <w:rsid w:val="008054F7"/>
    <w:rsid w:val="00811B4D"/>
    <w:rsid w:val="008177C0"/>
    <w:rsid w:val="00823C84"/>
    <w:rsid w:val="0083751D"/>
    <w:rsid w:val="00841D03"/>
    <w:rsid w:val="008547F7"/>
    <w:rsid w:val="008868D4"/>
    <w:rsid w:val="008B21C0"/>
    <w:rsid w:val="008D0BDA"/>
    <w:rsid w:val="008D22E9"/>
    <w:rsid w:val="008D3025"/>
    <w:rsid w:val="008D7200"/>
    <w:rsid w:val="008E197D"/>
    <w:rsid w:val="008E4C83"/>
    <w:rsid w:val="008E7BB4"/>
    <w:rsid w:val="008F1D31"/>
    <w:rsid w:val="008F449B"/>
    <w:rsid w:val="00902DBF"/>
    <w:rsid w:val="00903F7D"/>
    <w:rsid w:val="00912F02"/>
    <w:rsid w:val="009135CD"/>
    <w:rsid w:val="009258B7"/>
    <w:rsid w:val="00941463"/>
    <w:rsid w:val="00956D84"/>
    <w:rsid w:val="00970364"/>
    <w:rsid w:val="0098661A"/>
    <w:rsid w:val="00994B5D"/>
    <w:rsid w:val="009B6D09"/>
    <w:rsid w:val="009C1D8A"/>
    <w:rsid w:val="009C5AEA"/>
    <w:rsid w:val="009D1158"/>
    <w:rsid w:val="00A176D8"/>
    <w:rsid w:val="00A3285B"/>
    <w:rsid w:val="00A3454B"/>
    <w:rsid w:val="00A3605F"/>
    <w:rsid w:val="00A426E3"/>
    <w:rsid w:val="00A42F93"/>
    <w:rsid w:val="00A43F48"/>
    <w:rsid w:val="00A46586"/>
    <w:rsid w:val="00A55434"/>
    <w:rsid w:val="00A55AB2"/>
    <w:rsid w:val="00A573A3"/>
    <w:rsid w:val="00A664FC"/>
    <w:rsid w:val="00A66893"/>
    <w:rsid w:val="00A73EB5"/>
    <w:rsid w:val="00A935AD"/>
    <w:rsid w:val="00AA589C"/>
    <w:rsid w:val="00AB1D0B"/>
    <w:rsid w:val="00AB5B8E"/>
    <w:rsid w:val="00AC4A59"/>
    <w:rsid w:val="00AC7AC4"/>
    <w:rsid w:val="00AD6E27"/>
    <w:rsid w:val="00B166D7"/>
    <w:rsid w:val="00B267E3"/>
    <w:rsid w:val="00B32DEB"/>
    <w:rsid w:val="00B47597"/>
    <w:rsid w:val="00B5492B"/>
    <w:rsid w:val="00B55F32"/>
    <w:rsid w:val="00B653C3"/>
    <w:rsid w:val="00B70E1C"/>
    <w:rsid w:val="00B736F9"/>
    <w:rsid w:val="00B85BB2"/>
    <w:rsid w:val="00B9136A"/>
    <w:rsid w:val="00B92745"/>
    <w:rsid w:val="00B92EC5"/>
    <w:rsid w:val="00B94679"/>
    <w:rsid w:val="00BA7D1E"/>
    <w:rsid w:val="00BB7D4C"/>
    <w:rsid w:val="00BC0497"/>
    <w:rsid w:val="00BC617B"/>
    <w:rsid w:val="00BD1A43"/>
    <w:rsid w:val="00BD60AC"/>
    <w:rsid w:val="00BE5FD3"/>
    <w:rsid w:val="00C058C2"/>
    <w:rsid w:val="00C1243B"/>
    <w:rsid w:val="00C13D9A"/>
    <w:rsid w:val="00C34B3C"/>
    <w:rsid w:val="00C53AB2"/>
    <w:rsid w:val="00C5569B"/>
    <w:rsid w:val="00C82D2F"/>
    <w:rsid w:val="00CB52BE"/>
    <w:rsid w:val="00CC3236"/>
    <w:rsid w:val="00CC4344"/>
    <w:rsid w:val="00CD5D79"/>
    <w:rsid w:val="00CE1511"/>
    <w:rsid w:val="00CE6ED5"/>
    <w:rsid w:val="00D071CB"/>
    <w:rsid w:val="00D112FA"/>
    <w:rsid w:val="00D149E4"/>
    <w:rsid w:val="00D3002F"/>
    <w:rsid w:val="00D34197"/>
    <w:rsid w:val="00D400C1"/>
    <w:rsid w:val="00D55707"/>
    <w:rsid w:val="00D61F9C"/>
    <w:rsid w:val="00D640DA"/>
    <w:rsid w:val="00D673F1"/>
    <w:rsid w:val="00D67B79"/>
    <w:rsid w:val="00D7562E"/>
    <w:rsid w:val="00D94FC7"/>
    <w:rsid w:val="00DA188C"/>
    <w:rsid w:val="00DB32B4"/>
    <w:rsid w:val="00DD1E91"/>
    <w:rsid w:val="00DD2DCC"/>
    <w:rsid w:val="00DD7D8C"/>
    <w:rsid w:val="00DE3BDF"/>
    <w:rsid w:val="00DE6A2D"/>
    <w:rsid w:val="00DE78B3"/>
    <w:rsid w:val="00DE78D0"/>
    <w:rsid w:val="00DF57F1"/>
    <w:rsid w:val="00DF6BC9"/>
    <w:rsid w:val="00E0597C"/>
    <w:rsid w:val="00E07099"/>
    <w:rsid w:val="00E07A58"/>
    <w:rsid w:val="00E160D8"/>
    <w:rsid w:val="00E308EB"/>
    <w:rsid w:val="00E320CF"/>
    <w:rsid w:val="00E367E3"/>
    <w:rsid w:val="00E37CC2"/>
    <w:rsid w:val="00E4327A"/>
    <w:rsid w:val="00E46CBB"/>
    <w:rsid w:val="00E86184"/>
    <w:rsid w:val="00EB6CA5"/>
    <w:rsid w:val="00ED00CC"/>
    <w:rsid w:val="00ED2481"/>
    <w:rsid w:val="00ED2955"/>
    <w:rsid w:val="00ED5C6C"/>
    <w:rsid w:val="00ED6897"/>
    <w:rsid w:val="00EF789A"/>
    <w:rsid w:val="00F167C3"/>
    <w:rsid w:val="00F33603"/>
    <w:rsid w:val="00F451F0"/>
    <w:rsid w:val="00F47D1C"/>
    <w:rsid w:val="00F52356"/>
    <w:rsid w:val="00F70753"/>
    <w:rsid w:val="00F72028"/>
    <w:rsid w:val="00F833FE"/>
    <w:rsid w:val="00FA4AAD"/>
    <w:rsid w:val="00FA7840"/>
    <w:rsid w:val="00FB40EF"/>
    <w:rsid w:val="00FB553F"/>
    <w:rsid w:val="00FB6CCB"/>
    <w:rsid w:val="00FC303C"/>
    <w:rsid w:val="00FD1EBB"/>
    <w:rsid w:val="00FD2AE2"/>
    <w:rsid w:val="00FD7A10"/>
    <w:rsid w:val="00FE155F"/>
    <w:rsid w:val="00FE477A"/>
    <w:rsid w:val="00FF4020"/>
    <w:rsid w:val="00FF7D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159DC"/>
  <w14:defaultImageDpi w14:val="96"/>
  <w15:docId w15:val="{7AA74899-8A52-49DA-B5BC-EF4540AD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hAnsi="Times New Roman"/>
      <w:sz w:val="22"/>
      <w:szCs w:val="22"/>
      <w:lang w:val="fr-FR" w:eastAsia="zh-CN"/>
    </w:rPr>
  </w:style>
  <w:style w:type="paragraph" w:styleId="Heading1">
    <w:name w:val="heading 1"/>
    <w:basedOn w:val="Normal"/>
    <w:next w:val="NormalKeep"/>
    <w:link w:val="Heading1Char"/>
    <w:uiPriority w:val="9"/>
    <w:qFormat/>
    <w:pPr>
      <w:keepNext/>
      <w:keepLines/>
      <w:ind w:left="561" w:hanging="561"/>
      <w:outlineLvl w:val="0"/>
    </w:pPr>
    <w:rPr>
      <w:b/>
      <w:bCs/>
    </w:rPr>
  </w:style>
  <w:style w:type="paragraph" w:styleId="Heading2">
    <w:name w:val="heading 2"/>
    <w:basedOn w:val="Normal"/>
    <w:next w:val="NormalKeep"/>
    <w:link w:val="Heading2Char"/>
    <w:uiPriority w:val="9"/>
    <w:unhideWhenUsed/>
    <w:qFormat/>
    <w:pPr>
      <w:keepNext/>
      <w:keepLines/>
      <w:ind w:left="562" w:hanging="562"/>
      <w:outlineLvl w:val="1"/>
    </w:pPr>
    <w:rPr>
      <w:b/>
      <w:bCs/>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DengXian" w:hAnsi="Calibri" w:cs="Arial"/>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DengXian" w:hAnsi="Calibri" w:cs="Arial"/>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DengXian" w:hAnsi="Calibri" w:cs="Arial"/>
      <w:b/>
      <w:bCs/>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DengXian" w:hAnsi="Calibri" w:cs="Arial"/>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DengXian" w:hAnsi="Calibri" w:cs="Arial"/>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eastAsia="DengXian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b/>
      <w:bCs/>
      <w:sz w:val="22"/>
      <w:szCs w:val="22"/>
      <w:lang w:val="fr-FR"/>
    </w:rPr>
  </w:style>
  <w:style w:type="paragraph" w:customStyle="1" w:styleId="NormalKeep">
    <w:name w:val="Normal Keep"/>
    <w:basedOn w:val="Normal"/>
    <w:link w:val="NormalKeepChar"/>
    <w:qFormat/>
    <w:pPr>
      <w:keepNext/>
    </w:pPr>
  </w:style>
  <w:style w:type="paragraph" w:customStyle="1" w:styleId="Bullet">
    <w:name w:val="Bullet •"/>
    <w:basedOn w:val="Normal"/>
    <w:qFormat/>
    <w:pPr>
      <w:numPr>
        <w:numId w:val="2"/>
      </w:numPr>
    </w:pPr>
  </w:style>
  <w:style w:type="paragraph" w:customStyle="1" w:styleId="Bullet2">
    <w:name w:val="Bullet • 2"/>
    <w:basedOn w:val="Normal"/>
    <w:qFormat/>
    <w:pPr>
      <w:numPr>
        <w:numId w:val="18"/>
      </w:numPr>
    </w:pPr>
  </w:style>
  <w:style w:type="paragraph" w:customStyle="1" w:styleId="Bullet-">
    <w:name w:val="Bullet -"/>
    <w:basedOn w:val="Normal"/>
    <w:qFormat/>
    <w:pPr>
      <w:numPr>
        <w:numId w:val="3"/>
      </w:numPr>
    </w:pPr>
  </w:style>
  <w:style w:type="paragraph" w:customStyle="1" w:styleId="Bullet-2">
    <w:name w:val="Bullet - 2"/>
    <w:basedOn w:val="Normal"/>
    <w:qFormat/>
    <w:pPr>
      <w:numPr>
        <w:numId w:val="20"/>
      </w:numPr>
    </w:pPr>
  </w:style>
  <w:style w:type="paragraph" w:styleId="NormalIndent">
    <w:name w:val="Normal Indent"/>
    <w:basedOn w:val="Normal"/>
    <w:uiPriority w:val="99"/>
    <w:unhideWhenUsed/>
    <w:pPr>
      <w:ind w:left="562"/>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locked/>
    <w:rPr>
      <w:rFonts w:ascii="Times New Roman" w:hAnsi="Times New Roman"/>
      <w:sz w:val="22"/>
    </w:rPr>
  </w:style>
  <w:style w:type="paragraph" w:styleId="Footer">
    <w:name w:val="footer"/>
    <w:basedOn w:val="Normal"/>
    <w:link w:val="FooterChar"/>
    <w:uiPriority w:val="99"/>
    <w:unhideWhenUsed/>
    <w:pPr>
      <w:jc w:val="center"/>
    </w:pPr>
    <w:rPr>
      <w:rFonts w:ascii="Arial" w:hAnsi="Arial" w:cs="Arial"/>
      <w:sz w:val="16"/>
      <w:szCs w:val="16"/>
    </w:rPr>
  </w:style>
  <w:style w:type="character" w:customStyle="1" w:styleId="FooterChar">
    <w:name w:val="Footer Char"/>
    <w:link w:val="Footer"/>
    <w:uiPriority w:val="99"/>
    <w:locked/>
    <w:rPr>
      <w:rFonts w:ascii="Arial" w:hAnsi="Arial" w:cs="Arial"/>
      <w:sz w:val="16"/>
      <w:szCs w:val="16"/>
      <w:lang w:val="fr-FR"/>
    </w:rPr>
  </w:style>
  <w:style w:type="paragraph" w:customStyle="1" w:styleId="Heading1LAB">
    <w:name w:val="Heading 1 LAB"/>
    <w:basedOn w:val="Heading1"/>
    <w:next w:val="NormalKeep"/>
    <w:link w:val="Heading1LABChar"/>
    <w:qFormat/>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Pr>
      <w:i/>
      <w:iCs/>
    </w:rPr>
  </w:style>
  <w:style w:type="character" w:customStyle="1" w:styleId="Heading1LABChar">
    <w:name w:val="Heading 1 LAB Char"/>
    <w:link w:val="Heading1LAB"/>
    <w:locked/>
    <w:rPr>
      <w:rFonts w:ascii="Times New Roman" w:hAnsi="Times New Roman" w:cs="Times New Roman"/>
      <w:b/>
      <w:sz w:val="22"/>
      <w:szCs w:val="22"/>
      <w:lang w:val="fr-FR" w:eastAsia="zh-CN"/>
    </w:rPr>
  </w:style>
  <w:style w:type="character" w:styleId="Strong">
    <w:name w:val="Strong"/>
    <w:uiPriority w:val="22"/>
    <w:qFormat/>
    <w:rPr>
      <w:b/>
      <w:bCs/>
    </w:rPr>
  </w:style>
  <w:style w:type="character" w:customStyle="1" w:styleId="Underline">
    <w:name w:val="Underline"/>
    <w:uiPriority w:val="1"/>
    <w:qFormat/>
    <w:rPr>
      <w:u w:val="single"/>
    </w:rPr>
  </w:style>
  <w:style w:type="character" w:customStyle="1" w:styleId="Superscript">
    <w:name w:val="Superscript"/>
    <w:uiPriority w:val="1"/>
    <w:qFormat/>
    <w:rPr>
      <w:vertAlign w:val="superscript"/>
    </w:rPr>
  </w:style>
  <w:style w:type="character" w:customStyle="1" w:styleId="Subscript">
    <w:name w:val="Subscript"/>
    <w:uiPriority w:val="1"/>
    <w:qFormat/>
    <w:rPr>
      <w:vertAlign w:val="subscript"/>
    </w:rPr>
  </w:style>
  <w:style w:type="paragraph" w:customStyle="1" w:styleId="HeadingStrong">
    <w:name w:val="Heading Strong"/>
    <w:basedOn w:val="NormalKeep"/>
    <w:next w:val="NormalKeep"/>
    <w:link w:val="HeadingStrongChar"/>
    <w:qFormat/>
    <w:pPr>
      <w:keepLines/>
    </w:pPr>
    <w:rPr>
      <w:b/>
      <w:bCs/>
    </w:rPr>
  </w:style>
  <w:style w:type="paragraph" w:customStyle="1" w:styleId="HeadingEmphasis">
    <w:name w:val="Heading Emphasis"/>
    <w:basedOn w:val="NormalKeep"/>
    <w:next w:val="NormalKeep"/>
    <w:qFormat/>
    <w:pPr>
      <w:keepLines/>
    </w:pPr>
    <w:rPr>
      <w:i/>
      <w:iCs/>
    </w:rPr>
  </w:style>
  <w:style w:type="character" w:customStyle="1" w:styleId="NormalKeepChar">
    <w:name w:val="Normal Keep Char"/>
    <w:link w:val="NormalKeep"/>
    <w:locked/>
    <w:rPr>
      <w:rFonts w:ascii="Times New Roman" w:hAnsi="Times New Roman"/>
      <w:sz w:val="22"/>
      <w:lang w:val="fr-FR" w:eastAsia="zh-CN"/>
    </w:rPr>
  </w:style>
  <w:style w:type="character" w:customStyle="1" w:styleId="HeadingStrongChar">
    <w:name w:val="Heading Strong Char"/>
    <w:link w:val="HeadingStrong"/>
    <w:locked/>
    <w:rPr>
      <w:rFonts w:ascii="Times New Roman" w:hAnsi="Times New Roman"/>
      <w:b/>
      <w:bCs/>
      <w:sz w:val="22"/>
      <w:szCs w:val="22"/>
      <w:lang w:val="fr-FR"/>
    </w:rPr>
  </w:style>
  <w:style w:type="paragraph" w:customStyle="1" w:styleId="HeadingUnderlined">
    <w:name w:val="Heading Underlined"/>
    <w:basedOn w:val="NormalKeep"/>
    <w:next w:val="NormalKeep"/>
    <w:link w:val="HeadingUnderlinedChar"/>
    <w:qFormat/>
    <w:pPr>
      <w:keepLines/>
    </w:pPr>
    <w:rPr>
      <w:u w:val="single"/>
    </w:rPr>
  </w:style>
  <w:style w:type="paragraph" w:styleId="Title">
    <w:name w:val="Title"/>
    <w:basedOn w:val="Heading1"/>
    <w:next w:val="NormalKeep"/>
    <w:link w:val="TitleChar"/>
    <w:uiPriority w:val="10"/>
    <w:qFormat/>
    <w:pPr>
      <w:ind w:left="0" w:firstLine="0"/>
      <w:jc w:val="center"/>
    </w:pPr>
  </w:style>
  <w:style w:type="character" w:customStyle="1" w:styleId="TitleChar">
    <w:name w:val="Title Char"/>
    <w:link w:val="Title"/>
    <w:uiPriority w:val="10"/>
    <w:locked/>
    <w:rPr>
      <w:rFonts w:ascii="Times New Roman" w:hAnsi="Times New Roman"/>
      <w:b/>
      <w:bCs/>
      <w:sz w:val="22"/>
      <w:szCs w:val="22"/>
      <w:lang w:val="fr-FR"/>
    </w:rPr>
  </w:style>
  <w:style w:type="character" w:customStyle="1" w:styleId="HeadingUnderlinedChar">
    <w:name w:val="Heading Underlined Char"/>
    <w:link w:val="HeadingUnderlined"/>
    <w:locked/>
    <w:rPr>
      <w:rFonts w:ascii="Times New Roman" w:hAnsi="Times New Roman"/>
      <w:sz w:val="22"/>
      <w:u w:val="single"/>
      <w:lang w:val="fr-FR" w:eastAsia="zh-CN"/>
    </w:rPr>
  </w:style>
  <w:style w:type="paragraph" w:customStyle="1" w:styleId="NormalCentred">
    <w:name w:val="Normal Centred"/>
    <w:basedOn w:val="Normal"/>
    <w:qFormat/>
    <w:pPr>
      <w:jc w:val="center"/>
    </w:pPr>
  </w:style>
  <w:style w:type="paragraph" w:customStyle="1" w:styleId="HeadingUnderlinedEmphasis">
    <w:name w:val="Heading Underlined Emphasis"/>
    <w:basedOn w:val="HeadingUnderlined"/>
    <w:next w:val="NormalKeep"/>
    <w:qFormat/>
    <w:rPr>
      <w:i/>
      <w:iCs/>
    </w:rPr>
  </w:style>
  <w:style w:type="paragraph" w:customStyle="1" w:styleId="NormalHanging">
    <w:name w:val="Normal Hanging"/>
    <w:basedOn w:val="Normal"/>
    <w:qFormat/>
    <w:pPr>
      <w:ind w:left="562" w:hanging="562"/>
    </w:pPr>
  </w:style>
  <w:style w:type="paragraph" w:customStyle="1" w:styleId="Heading1Indent">
    <w:name w:val="Heading 1 Indent"/>
    <w:basedOn w:val="Heading1"/>
    <w:next w:val="NormalKeep"/>
    <w:qFormat/>
    <w:pPr>
      <w:ind w:left="1685" w:hanging="562"/>
    </w:pPr>
  </w:style>
  <w:style w:type="paragraph" w:customStyle="1" w:styleId="HeadingStrongEmphasis">
    <w:name w:val="Heading Strong Emphasis"/>
    <w:basedOn w:val="HeadingStrong"/>
    <w:next w:val="NormalKeep"/>
    <w:qFormat/>
    <w:rPr>
      <w:i/>
      <w:iCs/>
    </w:rPr>
  </w:style>
  <w:style w:type="paragraph" w:customStyle="1" w:styleId="HeadingStrLAB">
    <w:name w:val="Heading Str LAB"/>
    <w:basedOn w:val="HeadingStrong"/>
    <w:next w:val="Normal"/>
    <w:qFormat/>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pPr>
      <w:ind w:left="288" w:hanging="288"/>
    </w:pPr>
  </w:style>
  <w:style w:type="character" w:styleId="Hyperlink">
    <w:name w:val="Hyperlink"/>
    <w:uiPriority w:val="99"/>
    <w:unhideWhenUsed/>
    <w:rPr>
      <w:color w:val="0000FF"/>
      <w:u w:val="single"/>
    </w:rPr>
  </w:style>
  <w:style w:type="paragraph" w:customStyle="1" w:styleId="TableTitle">
    <w:name w:val="Table Title"/>
    <w:basedOn w:val="Heading1"/>
    <w:next w:val="NormalKeep"/>
    <w:qFormat/>
    <w:pPr>
      <w:ind w:left="1138" w:hanging="113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Pr>
      <w:rFonts w:ascii="Times New Roman" w:hAnsi="Times New Roman"/>
    </w:rPr>
    <w:tblPr>
      <w:tblCellMar>
        <w:left w:w="0" w:type="dxa"/>
        <w:right w:w="0" w:type="dxa"/>
      </w:tblCellMar>
    </w:tblPr>
    <w:trPr>
      <w:cantSplit/>
    </w:trPr>
  </w:style>
  <w:style w:type="table" w:customStyle="1" w:styleId="Standard1">
    <w:name w:val="Standard1"/>
    <w:basedOn w:val="TableNormal"/>
    <w:uiPriority w:val="99"/>
    <w:rPr>
      <w:rFonts w:ascii="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Pr>
    <w:trPr>
      <w:cantSplit/>
    </w:trPr>
  </w:style>
  <w:style w:type="character" w:customStyle="1" w:styleId="EmphasisUnderline">
    <w:name w:val="Emphasis Underline"/>
    <w:uiPriority w:val="1"/>
    <w:qFormat/>
    <w:rPr>
      <w:i/>
      <w:iCs/>
      <w:u w:val="single"/>
    </w:rPr>
  </w:style>
  <w:style w:type="character" w:customStyle="1" w:styleId="Heading2Char">
    <w:name w:val="Heading 2 Char"/>
    <w:link w:val="Heading2"/>
    <w:uiPriority w:val="9"/>
    <w:rPr>
      <w:rFonts w:ascii="Times New Roman" w:hAnsi="Times New Roman"/>
      <w:b/>
      <w:bCs/>
      <w:sz w:val="22"/>
      <w:szCs w:val="22"/>
      <w:lang w:val="fr-FR"/>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fr-FR"/>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rFonts w:ascii="Times New Roman" w:hAnsi="Times New Roman"/>
      <w:sz w:val="22"/>
      <w:szCs w:val="22"/>
      <w:lang w:val="fr-FR"/>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ascii="Times New Roman" w:hAnsi="Times New Roman"/>
      <w:sz w:val="22"/>
      <w:szCs w:val="22"/>
      <w:lang w:val="fr-FR"/>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ascii="Times New Roman" w:hAnsi="Times New Roman"/>
      <w:sz w:val="16"/>
      <w:szCs w:val="16"/>
      <w:lang w:val="fr-FR"/>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rFonts w:ascii="Times New Roman" w:hAnsi="Times New Roman"/>
      <w:sz w:val="22"/>
      <w:szCs w:val="22"/>
      <w:lang w:val="fr-FR"/>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link w:val="BodyTextIndent"/>
    <w:uiPriority w:val="99"/>
    <w:semiHidden/>
    <w:rPr>
      <w:rFonts w:ascii="Times New Roman" w:hAnsi="Times New Roman"/>
      <w:sz w:val="22"/>
      <w:szCs w:val="22"/>
      <w:lang w:val="fr-FR"/>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ascii="Times New Roman" w:hAnsi="Times New Roman"/>
      <w:sz w:val="22"/>
      <w:szCs w:val="22"/>
      <w:lang w:val="fr-FR"/>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link w:val="BodyTextIndent2"/>
    <w:uiPriority w:val="99"/>
    <w:semiHidden/>
    <w:rPr>
      <w:rFonts w:ascii="Times New Roman" w:hAnsi="Times New Roman"/>
      <w:sz w:val="22"/>
      <w:szCs w:val="22"/>
      <w:lang w:val="fr-FR"/>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link w:val="BodyTextIndent3"/>
    <w:uiPriority w:val="99"/>
    <w:semiHidden/>
    <w:rPr>
      <w:rFonts w:ascii="Times New Roman" w:hAnsi="Times New Roman"/>
      <w:sz w:val="16"/>
      <w:szCs w:val="16"/>
      <w:lang w:val="fr-FR"/>
    </w:rPr>
  </w:style>
  <w:style w:type="paragraph" w:styleId="Caption">
    <w:name w:val="caption"/>
    <w:basedOn w:val="Normal"/>
    <w:next w:val="Normal"/>
    <w:uiPriority w:val="35"/>
    <w:semiHidden/>
    <w:unhideWhenUsed/>
    <w:qFormat/>
    <w:rPr>
      <w:b/>
      <w:bCs/>
      <w:sz w:val="20"/>
      <w:szCs w:val="20"/>
    </w:rPr>
  </w:style>
  <w:style w:type="paragraph" w:styleId="Closing">
    <w:name w:val="Closing"/>
    <w:basedOn w:val="Normal"/>
    <w:link w:val="ClosingChar"/>
    <w:uiPriority w:val="99"/>
    <w:semiHidden/>
    <w:unhideWhenUsed/>
    <w:pPr>
      <w:ind w:left="4320"/>
    </w:pPr>
  </w:style>
  <w:style w:type="character" w:customStyle="1" w:styleId="ClosingChar">
    <w:name w:val="Closing Char"/>
    <w:link w:val="Closing"/>
    <w:uiPriority w:val="99"/>
    <w:semiHidden/>
    <w:rPr>
      <w:rFonts w:ascii="Times New Roman" w:hAnsi="Times New Roman"/>
      <w:sz w:val="22"/>
      <w:szCs w:val="22"/>
      <w:lang w:val="fr-FR"/>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Times New Roman" w:hAnsi="Times New Roman"/>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val="fr-FR"/>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ascii="Times New Roman" w:hAnsi="Times New Roman"/>
      <w:sz w:val="22"/>
      <w:szCs w:val="22"/>
      <w:lang w:val="fr-FR"/>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val="fr-FR"/>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ascii="Times New Roman" w:hAnsi="Times New Roman"/>
      <w:sz w:val="22"/>
      <w:szCs w:val="22"/>
      <w:lang w:val="fr-FR"/>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lang w:val="fr-FR"/>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uiPriority w:val="99"/>
    <w:semiHidden/>
    <w:unhideWhenUsed/>
    <w:rPr>
      <w:rFonts w:ascii="Calibri Light" w:eastAsia="DengXian Light" w:hAnsi="Calibri Light"/>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ascii="Times New Roman" w:hAnsi="Times New Roman"/>
      <w:lang w:val="fr-FR"/>
    </w:rPr>
  </w:style>
  <w:style w:type="character" w:customStyle="1" w:styleId="Heading3Char">
    <w:name w:val="Heading 3 Char"/>
    <w:link w:val="Heading3"/>
    <w:uiPriority w:val="9"/>
    <w:semiHidden/>
    <w:rPr>
      <w:rFonts w:ascii="Calibri Light" w:eastAsia="DengXian Light" w:hAnsi="Calibri Light" w:cs="Times New Roman"/>
      <w:b/>
      <w:bCs/>
      <w:sz w:val="26"/>
      <w:szCs w:val="26"/>
      <w:lang w:val="fr-FR"/>
    </w:rPr>
  </w:style>
  <w:style w:type="character" w:customStyle="1" w:styleId="Heading4Char">
    <w:name w:val="Heading 4 Char"/>
    <w:link w:val="Heading4"/>
    <w:uiPriority w:val="9"/>
    <w:semiHidden/>
    <w:rPr>
      <w:rFonts w:ascii="Calibri" w:eastAsia="DengXian" w:hAnsi="Calibri" w:cs="Arial"/>
      <w:b/>
      <w:bCs/>
      <w:sz w:val="28"/>
      <w:szCs w:val="28"/>
      <w:lang w:val="fr-FR"/>
    </w:rPr>
  </w:style>
  <w:style w:type="character" w:customStyle="1" w:styleId="Heading5Char">
    <w:name w:val="Heading 5 Char"/>
    <w:link w:val="Heading5"/>
    <w:uiPriority w:val="9"/>
    <w:semiHidden/>
    <w:rPr>
      <w:rFonts w:ascii="Calibri" w:eastAsia="DengXian" w:hAnsi="Calibri" w:cs="Arial"/>
      <w:b/>
      <w:bCs/>
      <w:i/>
      <w:iCs/>
      <w:sz w:val="26"/>
      <w:szCs w:val="26"/>
      <w:lang w:val="fr-FR"/>
    </w:rPr>
  </w:style>
  <w:style w:type="character" w:customStyle="1" w:styleId="Heading6Char">
    <w:name w:val="Heading 6 Char"/>
    <w:link w:val="Heading6"/>
    <w:uiPriority w:val="9"/>
    <w:semiHidden/>
    <w:rPr>
      <w:rFonts w:ascii="Calibri" w:eastAsia="DengXian" w:hAnsi="Calibri" w:cs="Arial"/>
      <w:b/>
      <w:bCs/>
      <w:sz w:val="22"/>
      <w:szCs w:val="22"/>
      <w:lang w:val="fr-FR"/>
    </w:rPr>
  </w:style>
  <w:style w:type="character" w:customStyle="1" w:styleId="Heading7Char">
    <w:name w:val="Heading 7 Char"/>
    <w:link w:val="Heading7"/>
    <w:uiPriority w:val="9"/>
    <w:semiHidden/>
    <w:rPr>
      <w:rFonts w:ascii="Calibri" w:eastAsia="DengXian" w:hAnsi="Calibri" w:cs="Arial"/>
      <w:sz w:val="24"/>
      <w:szCs w:val="24"/>
      <w:lang w:val="fr-FR"/>
    </w:rPr>
  </w:style>
  <w:style w:type="character" w:customStyle="1" w:styleId="Heading8Char">
    <w:name w:val="Heading 8 Char"/>
    <w:link w:val="Heading8"/>
    <w:uiPriority w:val="9"/>
    <w:semiHidden/>
    <w:rPr>
      <w:rFonts w:ascii="Calibri" w:eastAsia="DengXian" w:hAnsi="Calibri" w:cs="Arial"/>
      <w:i/>
      <w:iCs/>
      <w:sz w:val="24"/>
      <w:szCs w:val="24"/>
      <w:lang w:val="fr-FR"/>
    </w:rPr>
  </w:style>
  <w:style w:type="character" w:customStyle="1" w:styleId="Heading9Char">
    <w:name w:val="Heading 9 Char"/>
    <w:link w:val="Heading9"/>
    <w:uiPriority w:val="9"/>
    <w:semiHidden/>
    <w:rPr>
      <w:rFonts w:ascii="Calibri Light" w:eastAsia="DengXian Light" w:hAnsi="Calibri Light" w:cs="Times New Roman"/>
      <w:sz w:val="22"/>
      <w:szCs w:val="22"/>
      <w:lang w:val="fr-FR"/>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ascii="Times New Roman" w:hAnsi="Times New Roman"/>
      <w:i/>
      <w:iCs/>
      <w:sz w:val="22"/>
      <w:szCs w:val="22"/>
      <w:lang w:val="fr-FR"/>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val="fr-FR"/>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eastAsia="DengXian Light" w:hAnsi="Calibri Light"/>
      <w:b/>
      <w:bC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rFonts w:ascii="Times New Roman" w:hAnsi="Times New Roman"/>
      <w:i/>
      <w:iCs/>
      <w:color w:val="4472C4"/>
      <w:sz w:val="22"/>
      <w:szCs w:val="22"/>
      <w:lang w:val="fr-FR"/>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Bullet5">
    <w:name w:val="List Bullet 5"/>
    <w:basedOn w:val="Normal"/>
    <w:uiPriority w:val="99"/>
    <w:semiHidden/>
    <w:unhideWhenUsed/>
    <w:pPr>
      <w:numPr>
        <w:numId w:val="8"/>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ListNumber5">
    <w:name w:val="List Number 5"/>
    <w:basedOn w:val="Normal"/>
    <w:uiPriority w:val="99"/>
    <w:semiHidden/>
    <w:unhideWhenUsed/>
    <w:pPr>
      <w:numPr>
        <w:numId w:val="13"/>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fr-FR" w:eastAsia="zh-CN"/>
    </w:rPr>
  </w:style>
  <w:style w:type="character" w:customStyle="1" w:styleId="MacroTextChar">
    <w:name w:val="Macro Text Char"/>
    <w:link w:val="MacroText"/>
    <w:uiPriority w:val="99"/>
    <w:semiHidden/>
    <w:rPr>
      <w:rFonts w:ascii="Courier New" w:hAnsi="Courier New" w:cs="Courier New"/>
      <w:lang w:val="fr-FR"/>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uiPriority w:val="99"/>
    <w:semiHidden/>
    <w:rPr>
      <w:rFonts w:ascii="Calibri Light" w:eastAsia="DengXian Light" w:hAnsi="Calibri Light" w:cs="Times New Roman"/>
      <w:sz w:val="24"/>
      <w:szCs w:val="24"/>
      <w:shd w:val="pct20" w:color="auto" w:fill="auto"/>
      <w:lang w:val="fr-FR"/>
    </w:rPr>
  </w:style>
  <w:style w:type="paragraph" w:styleId="NoSpacing">
    <w:name w:val="No Spacing"/>
    <w:uiPriority w:val="1"/>
    <w:qFormat/>
    <w:pPr>
      <w:suppressAutoHyphens/>
    </w:pPr>
    <w:rPr>
      <w:rFonts w:ascii="Times New Roman" w:hAnsi="Times New Roman"/>
      <w:sz w:val="22"/>
      <w:szCs w:val="22"/>
      <w:lang w:val="fr-FR" w:eastAsia="zh-CN"/>
    </w:rPr>
  </w:style>
  <w:style w:type="paragraph" w:styleId="NormalWeb">
    <w:name w:val="Normal (Web)"/>
    <w:basedOn w:val="Normal"/>
    <w:uiPriority w:val="99"/>
    <w:semiHidden/>
    <w:unhideWhenUsed/>
    <w:rPr>
      <w:sz w:val="24"/>
      <w:szCs w:val="24"/>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ascii="Times New Roman" w:hAnsi="Times New Roman"/>
      <w:sz w:val="22"/>
      <w:szCs w:val="22"/>
      <w:lang w:val="fr-FR"/>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val="fr-FR"/>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ascii="Times New Roman" w:hAnsi="Times New Roman"/>
      <w:i/>
      <w:iCs/>
      <w:color w:val="404040"/>
      <w:sz w:val="22"/>
      <w:szCs w:val="22"/>
      <w:lang w:val="fr-FR"/>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ascii="Times New Roman" w:hAnsi="Times New Roman"/>
      <w:sz w:val="22"/>
      <w:szCs w:val="22"/>
      <w:lang w:val="fr-FR"/>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link w:val="Signature"/>
    <w:uiPriority w:val="99"/>
    <w:semiHidden/>
    <w:rPr>
      <w:rFonts w:ascii="Times New Roman" w:hAnsi="Times New Roman"/>
      <w:sz w:val="22"/>
      <w:szCs w:val="22"/>
      <w:lang w:val="fr-FR"/>
    </w:rPr>
  </w:style>
  <w:style w:type="paragraph" w:styleId="Subtitle">
    <w:name w:val="Subtitle"/>
    <w:basedOn w:val="Normal"/>
    <w:next w:val="Normal"/>
    <w:link w:val="SubtitleChar"/>
    <w:uiPriority w:val="11"/>
    <w:qFormat/>
    <w:pPr>
      <w:spacing w:after="60"/>
      <w:jc w:val="center"/>
      <w:outlineLvl w:val="1"/>
    </w:pPr>
    <w:rPr>
      <w:rFonts w:ascii="Calibri Light" w:eastAsia="DengXian Light" w:hAnsi="Calibri Light"/>
      <w:sz w:val="24"/>
      <w:szCs w:val="24"/>
    </w:rPr>
  </w:style>
  <w:style w:type="character" w:customStyle="1" w:styleId="SubtitleChar">
    <w:name w:val="Subtitle Char"/>
    <w:link w:val="Subtitle"/>
    <w:uiPriority w:val="11"/>
    <w:rPr>
      <w:rFonts w:ascii="Calibri Light" w:eastAsia="DengXian Light" w:hAnsi="Calibri Light" w:cs="Times New Roman"/>
      <w:sz w:val="24"/>
      <w:szCs w:val="24"/>
      <w:lang w:val="fr-FR"/>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Calibri Light" w:eastAsia="DengXian Light" w:hAnsi="Calibri Light"/>
      <w:b/>
      <w:bCs/>
      <w:sz w:val="24"/>
      <w:szCs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TOCHeading">
    <w:name w:val="TOC Heading"/>
    <w:basedOn w:val="Heading1"/>
    <w:next w:val="Normal"/>
    <w:uiPriority w:val="39"/>
    <w:semiHidden/>
    <w:unhideWhenUsed/>
    <w:qFormat/>
    <w:pPr>
      <w:keepLines w:val="0"/>
      <w:spacing w:before="240" w:after="60"/>
      <w:ind w:left="0" w:firstLine="0"/>
      <w:outlineLvl w:val="9"/>
    </w:pPr>
    <w:rPr>
      <w:rFonts w:ascii="Calibri Light" w:eastAsia="DengXian Light" w:hAnsi="Calibri Light"/>
      <w:kern w:val="32"/>
      <w:sz w:val="32"/>
      <w:szCs w:val="32"/>
    </w:rPr>
  </w:style>
  <w:style w:type="paragraph" w:customStyle="1" w:styleId="HeadingStrongCentred">
    <w:name w:val="Heading Strong Centred"/>
    <w:basedOn w:val="HeadingStrong"/>
    <w:qFormat/>
    <w:pPr>
      <w:jc w:val="center"/>
    </w:pPr>
  </w:style>
  <w:style w:type="character" w:customStyle="1" w:styleId="UnresolvedMention1">
    <w:name w:val="Unresolved Mention1"/>
    <w:uiPriority w:val="99"/>
    <w:semiHidden/>
    <w:unhideWhenUsed/>
    <w:rPr>
      <w:color w:val="605E5C"/>
      <w:shd w:val="clear" w:color="auto" w:fill="E1DFDD"/>
    </w:rPr>
  </w:style>
  <w:style w:type="paragraph" w:customStyle="1" w:styleId="TitleA">
    <w:name w:val="Title A"/>
    <w:basedOn w:val="Title"/>
    <w:qFormat/>
  </w:style>
  <w:style w:type="paragraph" w:customStyle="1" w:styleId="TitleB">
    <w:name w:val="Title B"/>
    <w:basedOn w:val="Heading1"/>
    <w:qFormat/>
  </w:style>
  <w:style w:type="character" w:customStyle="1" w:styleId="StrongUnderline">
    <w:name w:val="Strong Underline"/>
    <w:uiPriority w:val="1"/>
    <w:qFormat/>
    <w:rPr>
      <w:b/>
      <w:bCs/>
      <w:u w:val="single"/>
    </w:rPr>
  </w:style>
  <w:style w:type="character" w:customStyle="1" w:styleId="EmphasisStrongUnd">
    <w:name w:val="Emphasis Strong Und"/>
    <w:uiPriority w:val="1"/>
    <w:qFormat/>
    <w:rPr>
      <w:b/>
      <w:bCs/>
      <w:i/>
      <w:iCs/>
      <w:u w:val="single"/>
    </w:rPr>
  </w:style>
  <w:style w:type="paragraph" w:customStyle="1" w:styleId="normal10pt">
    <w:name w:val="normal_10pt"/>
    <w:basedOn w:val="Normal"/>
    <w:qFormat/>
    <w:rPr>
      <w:sz w:val="20"/>
    </w:rPr>
  </w:style>
  <w:style w:type="paragraph" w:customStyle="1" w:styleId="Normal10pt0">
    <w:name w:val="Normal 10pt"/>
    <w:basedOn w:val="Normal"/>
    <w:qFormat/>
    <w:pPr>
      <w:ind w:left="142" w:hanging="142"/>
    </w:pPr>
    <w:rPr>
      <w:sz w:val="20"/>
    </w:rPr>
  </w:style>
  <w:style w:type="character" w:styleId="CommentReference">
    <w:name w:val="annotation reference"/>
    <w:unhideWhenUsed/>
    <w:rPr>
      <w:sz w:val="16"/>
      <w:szCs w:val="16"/>
    </w:rPr>
  </w:style>
  <w:style w:type="paragraph" w:styleId="Revision">
    <w:name w:val="Revision"/>
    <w:hidden/>
    <w:uiPriority w:val="99"/>
    <w:semiHidden/>
    <w:rsid w:val="001676E5"/>
    <w:rPr>
      <w:rFonts w:ascii="Times New Roman" w:hAnsi="Times New Roman"/>
      <w:sz w:val="22"/>
      <w:szCs w:val="22"/>
      <w:lang w:val="fr-FR" w:eastAsia="zh-CN"/>
    </w:rPr>
  </w:style>
  <w:style w:type="paragraph" w:customStyle="1" w:styleId="ParaText">
    <w:name w:val="Para Text"/>
    <w:basedOn w:val="Normal"/>
    <w:qFormat/>
    <w:rsid w:val="00811B4D"/>
    <w:pPr>
      <w:suppressAutoHyphens w:val="0"/>
      <w:spacing w:before="160" w:after="200" w:line="320" w:lineRule="exact"/>
    </w:pPr>
    <w:rPr>
      <w:rFonts w:eastAsia="Calibri"/>
      <w:sz w:val="24"/>
      <w:szCs w:val="24"/>
      <w:lang w:val="en-US" w:eastAsia="en-US"/>
    </w:rPr>
  </w:style>
  <w:style w:type="character" w:customStyle="1" w:styleId="Lienhypertexte1">
    <w:name w:val="Lien hypertexte1"/>
    <w:uiPriority w:val="99"/>
    <w:rsid w:val="00AC4A59"/>
    <w:rPr>
      <w:color w:val="0000FF"/>
      <w:u w:val="single"/>
    </w:rPr>
  </w:style>
  <w:style w:type="character" w:customStyle="1" w:styleId="UnresolvedMention2">
    <w:name w:val="Unresolved Mention2"/>
    <w:uiPriority w:val="99"/>
    <w:semiHidden/>
    <w:unhideWhenUsed/>
    <w:rsid w:val="00AC4A59"/>
    <w:rPr>
      <w:color w:val="605E5C"/>
      <w:shd w:val="clear" w:color="auto" w:fill="E1DFDD"/>
    </w:rPr>
  </w:style>
  <w:style w:type="character" w:styleId="UnresolvedMention">
    <w:name w:val="Unresolved Mention"/>
    <w:basedOn w:val="DefaultParagraphFont"/>
    <w:uiPriority w:val="99"/>
    <w:semiHidden/>
    <w:unhideWhenUsed/>
    <w:rsid w:val="005F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signalement.social-sante.gouv.fr/"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s://www.ema.europa.eu/"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ema.europa.e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0B7FD60883B4595285877F6B2DA8F" ma:contentTypeVersion="8" ma:contentTypeDescription="Create a new document." ma:contentTypeScope="" ma:versionID="177af0cbd6927adbd166059d41457af4">
  <xsd:schema xmlns:xsd="http://www.w3.org/2001/XMLSchema" xmlns:xs="http://www.w3.org/2001/XMLSchema" xmlns:p="http://schemas.microsoft.com/office/2006/metadata/properties" xmlns:ns2="7f8758ac-3d05-471f-b31d-1acee670e100" xmlns:ns3="8078488c-0acb-4e0f-be5f-8fa19057aa1b" targetNamespace="http://schemas.microsoft.com/office/2006/metadata/properties" ma:root="true" ma:fieldsID="14ea0be3238246de484323085d704700" ns2:_="" ns3:_="">
    <xsd:import namespace="7f8758ac-3d05-471f-b31d-1acee670e100"/>
    <xsd:import namespace="8078488c-0acb-4e0f-be5f-8fa19057aa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758ac-3d05-471f-b31d-1acee670e1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8488c-0acb-4e0f-be5f-8fa19057aa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AFD78-BBD3-4C39-BE4D-391DA8D0B0B1}">
  <ds:schemaRefs>
    <ds:schemaRef ds:uri="http://schemas.microsoft.com/sharepoint/v3/contenttype/forms"/>
  </ds:schemaRefs>
</ds:datastoreItem>
</file>

<file path=customXml/itemProps2.xml><?xml version="1.0" encoding="utf-8"?>
<ds:datastoreItem xmlns:ds="http://schemas.openxmlformats.org/officeDocument/2006/customXml" ds:itemID="{35D7850F-D107-41F0-AFBA-186ED458C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758ac-3d05-471f-b31d-1acee670e100"/>
    <ds:schemaRef ds:uri="8078488c-0acb-4e0f-be5f-8fa19057a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CD61C-686F-4BEE-9296-B5319715AB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7856</Words>
  <Characters>44783</Characters>
  <Application>Microsoft Office Word</Application>
  <DocSecurity>0</DocSecurity>
  <PresentationFormat/>
  <Lines>373</Lines>
  <Paragraphs>105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Vaxchora, Cholera Vaccine (recombinant, live, oral)</vt:lpstr>
      <vt:lpstr>Vaxchora, INN-Vibrio cholerae</vt:lpstr>
      <vt:lpstr>Vaxchora, INN-Vibrio cholerae</vt:lpstr>
    </vt:vector>
  </TitlesOfParts>
  <Manager/>
  <Company/>
  <LinksUpToDate>false</LinksUpToDate>
  <CharactersWithSpaces>52534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Vaxchora, Cholera Vaccine (recombinant, live, oral)</dc:title>
  <dc:subject>EPAR</dc:subject>
  <dc:creator>CHMP</dc:creator>
  <cp:keywords>Vaxchora, Cholera Vaccine (recombinant, live, oral)</cp:keywords>
  <dc:description/>
  <cp:lastModifiedBy>Mafalda Ferreira</cp:lastModifiedBy>
  <cp:revision>19</cp:revision>
  <dcterms:created xsi:type="dcterms:W3CDTF">2024-12-08T13:42:00Z</dcterms:created>
  <dcterms:modified xsi:type="dcterms:W3CDTF">2025-12-19T15:24:00Z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0x010100B7E0B7FD60883B4595285877F6B2DA8F</vt:lpwstr>
  </property>
</Properties>
</file>